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70247E">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附件</w:t>
      </w: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rPr>
        <w:t>：</w:t>
      </w:r>
    </w:p>
    <w:p w14:paraId="07225E9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_GB2312" w:hAnsi="方正仿宋_GB2312" w:eastAsia="方正仿宋_GB2312" w:cs="方正仿宋_GB2312"/>
          <w:sz w:val="32"/>
          <w:szCs w:val="32"/>
        </w:rPr>
      </w:pPr>
    </w:p>
    <w:p w14:paraId="11157AA0">
      <w:pPr>
        <w:jc w:val="center"/>
        <w:rPr>
          <w:rFonts w:hint="default" w:ascii="黑体" w:hAnsi="黑体" w:eastAsia="黑体" w:cs="黑体"/>
          <w:sz w:val="32"/>
          <w:szCs w:val="32"/>
          <w:lang w:val="en-US" w:eastAsia="zh-CN"/>
        </w:rPr>
      </w:pPr>
      <w:r>
        <w:rPr>
          <w:rFonts w:hint="eastAsia" w:ascii="方正小标宋_GBK" w:hAnsi="方正小标宋_GBK" w:eastAsia="方正小标宋_GBK" w:cs="方正小标宋_GBK"/>
          <w:color w:val="000000"/>
          <w:sz w:val="44"/>
          <w:szCs w:val="44"/>
        </w:rPr>
        <w:t>安徽省粮食行业协会</w:t>
      </w:r>
      <w:r>
        <w:rPr>
          <w:rFonts w:hint="eastAsia" w:ascii="方正小标宋_GBK" w:hAnsi="方正小标宋_GBK" w:eastAsia="方正小标宋_GBK" w:cs="方正小标宋_GBK"/>
          <w:color w:val="000000"/>
          <w:sz w:val="44"/>
          <w:szCs w:val="44"/>
          <w:lang w:val="en-US" w:eastAsia="zh-CN"/>
        </w:rPr>
        <w:t>2026年工作要点</w:t>
      </w:r>
    </w:p>
    <w:p w14:paraId="41144FA6">
      <w:pPr>
        <w:spacing w:line="720" w:lineRule="exact"/>
        <w:jc w:val="center"/>
        <w:rPr>
          <w:rFonts w:hint="eastAsia" w:ascii="仿宋_GB2312" w:hAnsi="黑体" w:eastAsia="仿宋_GB2312"/>
          <w:color w:val="000000"/>
          <w:sz w:val="32"/>
          <w:szCs w:val="32"/>
        </w:rPr>
      </w:pPr>
      <w:r>
        <w:rPr>
          <w:rFonts w:hint="eastAsia" w:ascii="仿宋_GB2312" w:hAnsi="黑体" w:eastAsia="仿宋_GB2312"/>
          <w:color w:val="000000"/>
          <w:sz w:val="32"/>
          <w:szCs w:val="32"/>
          <w:lang w:eastAsia="zh-CN"/>
        </w:rPr>
        <w:t>（</w:t>
      </w:r>
      <w:r>
        <w:rPr>
          <w:rFonts w:hint="eastAsia" w:ascii="仿宋_GB2312" w:hAnsi="黑体" w:eastAsia="仿宋_GB2312"/>
          <w:color w:val="000000"/>
          <w:sz w:val="32"/>
          <w:szCs w:val="32"/>
          <w:lang w:val="en-US" w:eastAsia="zh-CN"/>
        </w:rPr>
        <w:t>审议稿</w:t>
      </w:r>
      <w:r>
        <w:rPr>
          <w:rFonts w:hint="eastAsia" w:ascii="仿宋_GB2312" w:hAnsi="黑体" w:eastAsia="仿宋_GB2312"/>
          <w:color w:val="000000"/>
          <w:sz w:val="32"/>
          <w:szCs w:val="32"/>
          <w:lang w:eastAsia="zh-CN"/>
        </w:rPr>
        <w:t>）</w:t>
      </w:r>
    </w:p>
    <w:p w14:paraId="33D1403F">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eastAsia="仿宋_GB2312"/>
          <w:color w:val="000000"/>
          <w:sz w:val="32"/>
          <w:szCs w:val="32"/>
        </w:rPr>
      </w:pPr>
    </w:p>
    <w:p w14:paraId="4DE91447">
      <w:pPr>
        <w:keepNext w:val="0"/>
        <w:keepLines w:val="0"/>
        <w:pageBreakBefore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color w:val="000000"/>
          <w:sz w:val="32"/>
          <w:szCs w:val="32"/>
        </w:rPr>
        <w:t>各位</w:t>
      </w:r>
      <w:r>
        <w:rPr>
          <w:rFonts w:hint="eastAsia" w:ascii="方正仿宋_GB2312" w:hAnsi="方正仿宋_GB2312" w:eastAsia="方正仿宋_GB2312" w:cs="方正仿宋_GB2312"/>
          <w:color w:val="000000"/>
          <w:sz w:val="32"/>
          <w:szCs w:val="32"/>
          <w:lang w:val="en-US" w:eastAsia="zh-CN"/>
        </w:rPr>
        <w:t>常务理事、理事：</w:t>
      </w:r>
    </w:p>
    <w:p w14:paraId="239D04E2">
      <w:pPr>
        <w:ind w:firstLine="640" w:firstLineChars="200"/>
        <w:rPr>
          <w:rFonts w:hint="eastAsia" w:ascii="方正仿宋_GB18030" w:hAnsi="方正仿宋_GB18030" w:eastAsia="方正仿宋_GB18030" w:cs="方正仿宋_GB18030"/>
          <w:sz w:val="32"/>
          <w:szCs w:val="32"/>
          <w:lang w:eastAsia="zh-CN"/>
        </w:rPr>
      </w:pPr>
      <w:r>
        <w:rPr>
          <w:rFonts w:hint="eastAsia" w:ascii="方正仿宋_GB18030" w:hAnsi="方正仿宋_GB18030" w:eastAsia="方正仿宋_GB18030" w:cs="方正仿宋_GB18030"/>
          <w:sz w:val="32"/>
          <w:szCs w:val="32"/>
        </w:rPr>
        <w:t>2026年是“十</w:t>
      </w:r>
      <w:r>
        <w:rPr>
          <w:rFonts w:hint="eastAsia" w:ascii="方正仿宋_GB18030" w:hAnsi="方正仿宋_GB18030" w:eastAsia="方正仿宋_GB18030" w:cs="方正仿宋_GB18030"/>
          <w:sz w:val="32"/>
          <w:szCs w:val="32"/>
          <w:lang w:val="en-US" w:eastAsia="zh-CN"/>
        </w:rPr>
        <w:t>五</w:t>
      </w:r>
      <w:r>
        <w:rPr>
          <w:rFonts w:hint="eastAsia" w:ascii="方正仿宋_GB18030" w:hAnsi="方正仿宋_GB18030" w:eastAsia="方正仿宋_GB18030" w:cs="方正仿宋_GB18030"/>
          <w:sz w:val="32"/>
          <w:szCs w:val="32"/>
        </w:rPr>
        <w:t>五”规划</w:t>
      </w:r>
      <w:r>
        <w:rPr>
          <w:rFonts w:hint="eastAsia" w:ascii="方正仿宋_GB18030" w:hAnsi="方正仿宋_GB18030" w:eastAsia="方正仿宋_GB18030" w:cs="方正仿宋_GB18030"/>
          <w:sz w:val="32"/>
          <w:szCs w:val="32"/>
          <w:lang w:val="en-US" w:eastAsia="zh-CN"/>
        </w:rPr>
        <w:t>开局</w:t>
      </w:r>
      <w:r>
        <w:rPr>
          <w:rFonts w:hint="eastAsia" w:ascii="方正仿宋_GB18030" w:hAnsi="方正仿宋_GB18030" w:eastAsia="方正仿宋_GB18030" w:cs="方正仿宋_GB18030"/>
          <w:sz w:val="32"/>
          <w:szCs w:val="32"/>
        </w:rPr>
        <w:t>之年，协会将紧扣“为企业服务、谋行业发展”工作主线，聚焦培育粮食行业新质生产力，重点抓好以下工作</w:t>
      </w:r>
      <w:r>
        <w:rPr>
          <w:rFonts w:hint="eastAsia" w:ascii="方正仿宋_GB18030" w:hAnsi="方正仿宋_GB18030" w:eastAsia="方正仿宋_GB18030" w:cs="方正仿宋_GB18030"/>
          <w:sz w:val="32"/>
          <w:szCs w:val="32"/>
          <w:lang w:eastAsia="zh-CN"/>
        </w:rPr>
        <w:t>，</w:t>
      </w:r>
      <w:r>
        <w:rPr>
          <w:rFonts w:hint="eastAsia" w:ascii="方正仿宋_GB18030" w:hAnsi="方正仿宋_GB18030" w:eastAsia="方正仿宋_GB18030" w:cs="方正仿宋_GB18030"/>
          <w:sz w:val="32"/>
          <w:szCs w:val="32"/>
          <w:lang w:val="en-US" w:eastAsia="zh-CN"/>
        </w:rPr>
        <w:t>请于审议</w:t>
      </w:r>
      <w:r>
        <w:rPr>
          <w:rFonts w:hint="eastAsia" w:ascii="方正仿宋_GB18030" w:hAnsi="方正仿宋_GB18030" w:eastAsia="方正仿宋_GB18030" w:cs="方正仿宋_GB18030"/>
          <w:sz w:val="32"/>
          <w:szCs w:val="32"/>
          <w:lang w:eastAsia="zh-CN"/>
        </w:rPr>
        <w:t>。</w:t>
      </w:r>
    </w:p>
    <w:p w14:paraId="384DB383">
      <w:pPr>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筑牢粮食安全屏障，推动政策落地见效</w:t>
      </w:r>
    </w:p>
    <w:p w14:paraId="5A30339F">
      <w:pPr>
        <w:ind w:firstLine="640" w:firstLineChars="200"/>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2"/>
          <w:szCs w:val="32"/>
        </w:rPr>
        <w:t>1.深化法治宣传教育，开展《粮食安全保障法》专题培训，引导会员企业依法合规经营；</w:t>
      </w:r>
    </w:p>
    <w:p w14:paraId="207BFD8F">
      <w:pPr>
        <w:ind w:firstLine="640" w:firstLineChars="200"/>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2"/>
          <w:szCs w:val="32"/>
        </w:rPr>
        <w:t>2.助力耕地保护与粮食生产，组织会员企业参与高标准农田建设和粮油单产提升行动，推广先进种植技术，稳定播种面积与产量。</w:t>
      </w:r>
    </w:p>
    <w:p w14:paraId="53A72DBF">
      <w:pPr>
        <w:ind w:left="0" w:leftChars="0"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rPr>
        <w:t>深化标准品牌建设，提升行业核心竞争力</w:t>
      </w:r>
    </w:p>
    <w:p w14:paraId="08D72EE5">
      <w:pPr>
        <w:ind w:firstLine="640" w:firstLineChars="200"/>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2"/>
          <w:szCs w:val="32"/>
        </w:rPr>
        <w:t>1.优化团体标准体系，新增绿色储粮、粮油精深加工等领域团体标准3项，推动与国家标准、行业标准衔接配套；</w:t>
      </w:r>
    </w:p>
    <w:p w14:paraId="6E3941AA">
      <w:pPr>
        <w:ind w:firstLine="640" w:firstLineChars="200"/>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2"/>
          <w:szCs w:val="32"/>
        </w:rPr>
        <w:t>2.强化“皖美粮油”“皖美粮机”品牌培育，配合省粮食和储备局组织品牌推介活动4场，参与全国性展会5次，扩大“皖”字号品牌影响力。</w:t>
      </w:r>
    </w:p>
    <w:p w14:paraId="01052218">
      <w:pPr>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推动产业创新升级，培育发展新动能</w:t>
      </w:r>
    </w:p>
    <w:p w14:paraId="4DF0F976">
      <w:pPr>
        <w:ind w:left="0" w:leftChars="0" w:firstLine="640" w:firstLineChars="200"/>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2"/>
          <w:szCs w:val="32"/>
        </w:rPr>
        <w:t>1.深化产学研协同创新，组建省级粮油产业技术创新联盟，攻关数字化仓储、功能性粮油开发等关键技术，加速科技成果转化；</w:t>
      </w:r>
    </w:p>
    <w:p w14:paraId="3A0D17A7">
      <w:pPr>
        <w:ind w:firstLine="640" w:firstLineChars="200"/>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2"/>
          <w:szCs w:val="32"/>
        </w:rPr>
        <w:t>2.助力“双招双引”，配合举办产业对接会、项目推介会4场</w:t>
      </w:r>
      <w:r>
        <w:rPr>
          <w:rFonts w:hint="eastAsia" w:ascii="方正仿宋_GB18030" w:hAnsi="方正仿宋_GB18030" w:eastAsia="方正仿宋_GB18030" w:cs="方正仿宋_GB18030"/>
          <w:sz w:val="32"/>
          <w:szCs w:val="32"/>
          <w:lang w:eastAsia="zh-CN"/>
        </w:rPr>
        <w:t>，</w:t>
      </w:r>
      <w:r>
        <w:rPr>
          <w:rFonts w:hint="eastAsia" w:ascii="方正仿宋_GB18030" w:hAnsi="方正仿宋_GB18030" w:eastAsia="方正仿宋_GB18030" w:cs="方正仿宋_GB18030"/>
          <w:sz w:val="32"/>
          <w:szCs w:val="32"/>
        </w:rPr>
        <w:t>重点招引粮油精深加工、物流配送等延链补链项目，推动产业链强链补链。</w:t>
      </w:r>
    </w:p>
    <w:p w14:paraId="4382B4D8">
      <w:pPr>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拓展产销合作空间，畅通产业流通渠道</w:t>
      </w:r>
    </w:p>
    <w:p w14:paraId="1BC8DE49">
      <w:pPr>
        <w:ind w:firstLine="640" w:firstLineChars="200"/>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2"/>
          <w:szCs w:val="32"/>
        </w:rPr>
        <w:t>1.深化省际产销协作，与主销区协会建立常态化合作机制，组织</w:t>
      </w:r>
      <w:r>
        <w:rPr>
          <w:rFonts w:hint="default" w:ascii="Times New Roman" w:hAnsi="Times New Roman" w:eastAsia="方正仿宋_GBK" w:cs="Times New Roman"/>
          <w:b w:val="0"/>
          <w:bCs w:val="0"/>
          <w:kern w:val="2"/>
          <w:sz w:val="36"/>
          <w:szCs w:val="32"/>
          <w:lang w:val="en-US" w:eastAsia="zh-CN" w:bidi="ar-SA"/>
        </w:rPr>
        <w:t>长三角、珠三角</w:t>
      </w:r>
      <w:r>
        <w:rPr>
          <w:rFonts w:hint="eastAsia" w:ascii="Times New Roman" w:hAnsi="Times New Roman" w:eastAsia="方正仿宋_GBK" w:cs="Times New Roman"/>
          <w:b w:val="0"/>
          <w:bCs w:val="0"/>
          <w:kern w:val="2"/>
          <w:sz w:val="36"/>
          <w:szCs w:val="32"/>
          <w:lang w:val="en-US" w:eastAsia="zh-CN" w:bidi="ar-SA"/>
        </w:rPr>
        <w:t>、大西南</w:t>
      </w:r>
      <w:r>
        <w:rPr>
          <w:rFonts w:hint="eastAsia" w:ascii="方正仿宋_GB18030" w:hAnsi="方正仿宋_GB18030" w:eastAsia="方正仿宋_GB18030" w:cs="方正仿宋_GB18030"/>
          <w:sz w:val="32"/>
          <w:szCs w:val="32"/>
        </w:rPr>
        <w:t>产销对接活动3次，力争皖粮外销规模</w:t>
      </w:r>
      <w:r>
        <w:rPr>
          <w:rFonts w:hint="eastAsia" w:ascii="方正仿宋_GB18030" w:hAnsi="方正仿宋_GB18030" w:eastAsia="方正仿宋_GB18030" w:cs="方正仿宋_GB18030"/>
          <w:sz w:val="32"/>
          <w:szCs w:val="32"/>
          <w:lang w:val="en-US" w:eastAsia="zh-CN"/>
        </w:rPr>
        <w:t>逐渐提升</w:t>
      </w:r>
      <w:r>
        <w:rPr>
          <w:rFonts w:hint="eastAsia" w:ascii="方正仿宋_GB18030" w:hAnsi="方正仿宋_GB18030" w:eastAsia="方正仿宋_GB18030" w:cs="方正仿宋_GB18030"/>
          <w:sz w:val="32"/>
          <w:szCs w:val="32"/>
        </w:rPr>
        <w:t>；</w:t>
      </w:r>
    </w:p>
    <w:p w14:paraId="421853A3">
      <w:pPr>
        <w:ind w:firstLine="640" w:firstLineChars="200"/>
        <w:rPr>
          <w:rFonts w:hint="eastAsia" w:ascii="方正仿宋_GB18030" w:hAnsi="方正仿宋_GB18030" w:eastAsia="方正仿宋_GB18030" w:cs="方正仿宋_GB18030"/>
          <w:sz w:val="32"/>
          <w:szCs w:val="32"/>
          <w:lang w:eastAsia="zh-CN"/>
        </w:rPr>
      </w:pPr>
      <w:r>
        <w:rPr>
          <w:rFonts w:hint="eastAsia" w:ascii="方正仿宋_GB18030" w:hAnsi="方正仿宋_GB18030" w:eastAsia="方正仿宋_GB18030" w:cs="方正仿宋_GB18030"/>
          <w:sz w:val="32"/>
          <w:szCs w:val="32"/>
        </w:rPr>
        <w:t>2.搭建线上线下融合产销平台，完善供需信息发布机制，推动订单农业发展，降低流通成本</w:t>
      </w:r>
      <w:r>
        <w:rPr>
          <w:rFonts w:hint="eastAsia" w:ascii="方正仿宋_GB18030" w:hAnsi="方正仿宋_GB18030" w:eastAsia="方正仿宋_GB18030" w:cs="方正仿宋_GB18030"/>
          <w:sz w:val="32"/>
          <w:szCs w:val="32"/>
          <w:lang w:eastAsia="zh-CN"/>
        </w:rPr>
        <w:t>。</w:t>
      </w:r>
    </w:p>
    <w:p w14:paraId="5D573007">
      <w:pPr>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加强行业规范治理，优化产业发展环境</w:t>
      </w:r>
    </w:p>
    <w:p w14:paraId="095E84D8">
      <w:pPr>
        <w:ind w:firstLine="640" w:firstLineChars="200"/>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2"/>
          <w:szCs w:val="32"/>
        </w:rPr>
        <w:t>1.完善行业自律机制，修订行业公约，营造公平竞争市场环境；</w:t>
      </w:r>
    </w:p>
    <w:p w14:paraId="63C1FB01">
      <w:pPr>
        <w:ind w:firstLine="640" w:firstLineChars="200"/>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2"/>
          <w:szCs w:val="32"/>
        </w:rPr>
        <w:t>2.强化行业调研分析，围绕产业转型、企业痛点开展专题调研，形成高质量报告，为政府决策提供支撑；</w:t>
      </w:r>
    </w:p>
    <w:p w14:paraId="31EB08B5">
      <w:pPr>
        <w:ind w:firstLine="640" w:firstLineChars="200"/>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2"/>
          <w:szCs w:val="32"/>
        </w:rPr>
        <w:t>3.配合主管部门开展市场监管，规范粮食收购秩序，打击违法违规行为，维护行业健康发展。</w:t>
      </w:r>
    </w:p>
    <w:p w14:paraId="64071B64">
      <w:pPr>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六、</w:t>
      </w:r>
      <w:r>
        <w:rPr>
          <w:rFonts w:hint="eastAsia" w:ascii="黑体" w:hAnsi="黑体" w:eastAsia="黑体" w:cs="黑体"/>
          <w:b w:val="0"/>
          <w:bCs w:val="0"/>
          <w:sz w:val="32"/>
          <w:szCs w:val="32"/>
        </w:rPr>
        <w:t>提升协会服务效能，增强凝聚力向心力</w:t>
      </w:r>
    </w:p>
    <w:p w14:paraId="128D4CF8">
      <w:pPr>
        <w:ind w:firstLine="640" w:firstLineChars="200"/>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2"/>
          <w:szCs w:val="32"/>
        </w:rPr>
        <w:t>1.优化会员服务体系，新增会员单位20家，重点吸纳新型农业经营主体、产业链配套企业，完善会员结构；</w:t>
      </w:r>
    </w:p>
    <w:p w14:paraId="653094D0">
      <w:pPr>
        <w:ind w:firstLine="640" w:firstLineChars="200"/>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2"/>
          <w:szCs w:val="32"/>
        </w:rPr>
        <w:t>2.搭建多层次交流平台，组织参与行业峰会、经验交流会，开展企业互访学习，促进资源共享；</w:t>
      </w:r>
    </w:p>
    <w:p w14:paraId="3D9B746D">
      <w:pPr>
        <w:ind w:firstLine="640" w:firstLineChars="200"/>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2"/>
          <w:szCs w:val="32"/>
        </w:rPr>
        <w:t>3.强化专家团队建设，建立政策解读专班，协助会员企业争取扶持政策，联合高校开展人才培训，提升行业队伍素质；</w:t>
      </w:r>
    </w:p>
    <w:p w14:paraId="612C0682">
      <w:pPr>
        <w:ind w:firstLine="640" w:firstLineChars="200"/>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2"/>
          <w:szCs w:val="32"/>
        </w:rPr>
        <w:t>4.加强协会自身建设，规范理事会、常务理事会运行，完善内部管理制度，提升规范化运作水平。</w:t>
      </w:r>
    </w:p>
    <w:p w14:paraId="732DDEB3">
      <w:pPr>
        <w:ind w:firstLine="640" w:firstLineChars="200"/>
        <w:rPr>
          <w:rFonts w:hint="eastAsia" w:ascii="方正仿宋_GB18030" w:hAnsi="方正仿宋_GB18030" w:eastAsia="方正仿宋_GB18030" w:cs="方正仿宋_GB18030"/>
          <w:sz w:val="32"/>
          <w:szCs w:val="32"/>
        </w:rPr>
        <w:sectPr>
          <w:footerReference r:id="rId3" w:type="default"/>
          <w:pgSz w:w="11906" w:h="16838"/>
          <w:pgMar w:top="1440" w:right="1800" w:bottom="1440" w:left="1800" w:header="851" w:footer="992" w:gutter="0"/>
          <w:pgNumType w:fmt="decimal" w:start="1"/>
          <w:cols w:space="720" w:num="1"/>
          <w:docGrid w:type="lines" w:linePitch="312" w:charSpace="0"/>
        </w:sectPr>
      </w:pPr>
      <w:r>
        <w:rPr>
          <w:rFonts w:hint="eastAsia" w:ascii="方正仿宋_GB18030" w:hAnsi="方正仿宋_GB18030" w:eastAsia="方正仿宋_GB18030" w:cs="方正仿宋_GB18030"/>
          <w:sz w:val="32"/>
          <w:szCs w:val="32"/>
        </w:rPr>
        <w:t>新的一年，安徽省粮食行业协会要以习近平新时代中国特色社会主义思想为指引，在省民政厅、省粮食和储备局的坚强领导下，将始终坚守服务宗旨、主动担当作为，团结带领全体会员企业凝心聚力、真抓实干，为扛稳国家粮食安全安徽责任、推动全省粮食产业高质量发展作</w:t>
      </w:r>
      <w:bookmarkStart w:id="0" w:name="_GoBack"/>
      <w:bookmarkEnd w:id="0"/>
      <w:r>
        <w:rPr>
          <w:rFonts w:hint="eastAsia" w:ascii="方正仿宋_GB18030" w:hAnsi="方正仿宋_GB18030" w:eastAsia="方正仿宋_GB18030" w:cs="方正仿宋_GB18030"/>
          <w:sz w:val="32"/>
          <w:szCs w:val="32"/>
        </w:rPr>
        <w:t>出新的更大贡献！</w:t>
      </w:r>
    </w:p>
    <w:p w14:paraId="3D4CC57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F6BD4709-4A3F-4322-89B6-4216A32987D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16345A0-E0D2-4623-B47C-99840A957261}"/>
  </w:font>
  <w:font w:name="方正仿宋_GB2312">
    <w:panose1 w:val="02000000000000000000"/>
    <w:charset w:val="86"/>
    <w:family w:val="auto"/>
    <w:pitch w:val="default"/>
    <w:sig w:usb0="A00002BF" w:usb1="184F6CFA" w:usb2="00000012" w:usb3="00000000" w:csb0="00040001" w:csb1="00000000"/>
    <w:embedRegular r:id="rId3" w:fontKey="{050D6D5B-3002-4F68-A187-911E4653D261}"/>
  </w:font>
  <w:font w:name="方正小标宋_GBK">
    <w:panose1 w:val="03000509000000000000"/>
    <w:charset w:val="86"/>
    <w:family w:val="script"/>
    <w:pitch w:val="default"/>
    <w:sig w:usb0="00000001" w:usb1="080E0000" w:usb2="00000000" w:usb3="00000000" w:csb0="00040000" w:csb1="00000000"/>
    <w:embedRegular r:id="rId4" w:fontKey="{BD2779B3-C189-4C5B-AD31-FA4C3B829D2B}"/>
  </w:font>
  <w:font w:name="仿宋_GB2312">
    <w:panose1 w:val="02010609030101010101"/>
    <w:charset w:val="86"/>
    <w:family w:val="modern"/>
    <w:pitch w:val="default"/>
    <w:sig w:usb0="00000001" w:usb1="080E0000" w:usb2="00000000" w:usb3="00000000" w:csb0="00040000" w:csb1="00000000"/>
    <w:embedRegular r:id="rId5" w:fontKey="{F18DF357-4B7E-4FE1-AC30-FB21239934D1}"/>
  </w:font>
  <w:font w:name="方正仿宋_GB18030">
    <w:panose1 w:val="02000000000000000000"/>
    <w:charset w:val="86"/>
    <w:family w:val="auto"/>
    <w:pitch w:val="default"/>
    <w:sig w:usb0="00000001" w:usb1="08000000" w:usb2="00000000" w:usb3="00000000" w:csb0="00040000" w:csb1="00000000"/>
    <w:embedRegular r:id="rId6" w:fontKey="{7B162FA7-9321-4854-9CDD-2C5E8B493BAA}"/>
  </w:font>
  <w:font w:name="方正仿宋_GBK">
    <w:panose1 w:val="03000509000000000000"/>
    <w:charset w:val="86"/>
    <w:family w:val="auto"/>
    <w:pitch w:val="default"/>
    <w:sig w:usb0="00000001" w:usb1="080E0000" w:usb2="00000000" w:usb3="00000000" w:csb0="00040000" w:csb1="00000000"/>
    <w:embedRegular r:id="rId7" w:fontKey="{B316F2B8-F067-46CF-A3B8-B0E3A1AD48F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B850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E0E8AB">
                          <w:pPr>
                            <w:pStyle w:val="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20</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54E0E8AB">
                    <w:pPr>
                      <w:pStyle w:val="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20</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032F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2026-05-22T09:36:45Z</dcterms:created>
  <dc:creator>韩综合部</dc:creator>
  <cp:lastModifiedBy>韩倩倩</cp:lastModifiedBy>
  <dcterms:modified xsi:type="dcterms:W3CDTF">2026-05-22T09:37:02Z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eyJoZGlkIjoiZDM1M2Q1MGI3ZDQzNjljMDI1NWU3MGY4Yzg2ZmUwYzMiLCJ1c2VySWQiOiI1NDQ5MjIyNjMifQ==</vt:lpwstr>
  </property>
  <property fmtid="{D5CDD505-2E9C-101B-9397-08002B2CF9AE}" pid="4" name="ICV">
    <vt:lpwstr>9DD793532828431B9D399083A5710EB2_12</vt:lpwstr>
  </property>
</Properties>
</file>