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AE12D">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附件</w:t>
      </w:r>
      <w:r>
        <w:rPr>
          <w:rFonts w:hint="eastAsia" w:ascii="方正仿宋_GB2312" w:hAnsi="方正仿宋_GB2312" w:eastAsia="方正仿宋_GB2312" w:cs="方正仿宋_GB2312"/>
          <w:sz w:val="30"/>
          <w:szCs w:val="30"/>
          <w:lang w:val="en-US" w:eastAsia="zh-CN"/>
        </w:rPr>
        <w:t>1</w:t>
      </w:r>
      <w:r>
        <w:rPr>
          <w:rFonts w:hint="eastAsia" w:ascii="方正仿宋_GB2312" w:hAnsi="方正仿宋_GB2312" w:eastAsia="方正仿宋_GB2312" w:cs="方正仿宋_GB2312"/>
          <w:sz w:val="30"/>
          <w:szCs w:val="30"/>
        </w:rPr>
        <w:t>：</w:t>
      </w:r>
    </w:p>
    <w:p w14:paraId="44CC5A6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000000"/>
          <w:sz w:val="44"/>
          <w:szCs w:val="44"/>
        </w:rPr>
      </w:pPr>
    </w:p>
    <w:p w14:paraId="242186E7">
      <w:pPr>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安徽省粮食行业协会</w:t>
      </w:r>
      <w:r>
        <w:rPr>
          <w:rFonts w:hint="eastAsia" w:ascii="方正小标宋_GBK" w:hAnsi="方正小标宋_GBK" w:eastAsia="方正小标宋_GBK" w:cs="方正小标宋_GBK"/>
          <w:color w:val="000000"/>
          <w:sz w:val="44"/>
          <w:szCs w:val="44"/>
          <w:lang w:val="en-US" w:eastAsia="zh-CN"/>
        </w:rPr>
        <w:t>2025</w:t>
      </w:r>
      <w:r>
        <w:rPr>
          <w:rFonts w:hint="eastAsia" w:ascii="方正小标宋_GBK" w:hAnsi="方正小标宋_GBK" w:eastAsia="方正小标宋_GBK" w:cs="方正小标宋_GBK"/>
          <w:color w:val="000000"/>
          <w:sz w:val="44"/>
          <w:szCs w:val="44"/>
        </w:rPr>
        <w:t>年工作情况报告</w:t>
      </w:r>
    </w:p>
    <w:p w14:paraId="51761329">
      <w:pPr>
        <w:spacing w:line="720"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审议稿</w:t>
      </w:r>
      <w:r>
        <w:rPr>
          <w:rFonts w:hint="eastAsia" w:ascii="方正仿宋_GB2312" w:hAnsi="方正仿宋_GB2312" w:eastAsia="方正仿宋_GB2312" w:cs="方正仿宋_GB2312"/>
          <w:color w:val="000000"/>
          <w:sz w:val="32"/>
          <w:szCs w:val="32"/>
          <w:lang w:eastAsia="zh-CN"/>
        </w:rPr>
        <w:t>）</w:t>
      </w:r>
    </w:p>
    <w:p w14:paraId="5345750A">
      <w:pPr>
        <w:keepNext w:val="0"/>
        <w:keepLines w:val="0"/>
        <w:pageBreakBefore w:val="0"/>
        <w:widowControl w:val="0"/>
        <w:kinsoku/>
        <w:wordWrap/>
        <w:overflowPunct/>
        <w:topLinePunct w:val="0"/>
        <w:autoSpaceDE/>
        <w:autoSpaceDN/>
        <w:bidi w:val="0"/>
        <w:spacing w:line="540" w:lineRule="exact"/>
        <w:jc w:val="center"/>
        <w:textAlignment w:val="auto"/>
        <w:rPr>
          <w:rFonts w:hint="eastAsia" w:ascii="方正仿宋_GB2312" w:hAnsi="方正仿宋_GB2312" w:eastAsia="方正仿宋_GB2312" w:cs="方正仿宋_GB2312"/>
          <w:color w:val="000000"/>
          <w:sz w:val="32"/>
          <w:szCs w:val="32"/>
          <w:lang w:eastAsia="zh-CN"/>
        </w:rPr>
      </w:pPr>
    </w:p>
    <w:p w14:paraId="5F13E8A1">
      <w:pPr>
        <w:keepNext w:val="0"/>
        <w:keepLines w:val="0"/>
        <w:pageBreakBefore w:val="0"/>
        <w:widowControl w:val="0"/>
        <w:kinsoku/>
        <w:wordWrap/>
        <w:overflowPunct/>
        <w:topLinePunct w:val="0"/>
        <w:autoSpaceDE/>
        <w:autoSpaceDN/>
        <w:bidi w:val="0"/>
        <w:adjustRightInd/>
        <w:spacing w:line="540" w:lineRule="exact"/>
        <w:textAlignment w:val="auto"/>
        <w:rPr>
          <w:rFonts w:hint="eastAsia" w:ascii="方正仿宋_GB18030" w:hAnsi="方正仿宋_GB18030" w:eastAsia="方正仿宋_GB18030" w:cs="方正仿宋_GB18030"/>
          <w:sz w:val="32"/>
          <w:szCs w:val="32"/>
        </w:rPr>
      </w:pPr>
      <w:r>
        <w:rPr>
          <w:rFonts w:hint="eastAsia" w:ascii="方正仿宋_GB2312" w:hAnsi="方正仿宋_GB2312" w:eastAsia="方正仿宋_GB2312" w:cs="方正仿宋_GB2312"/>
          <w:color w:val="000000"/>
          <w:sz w:val="32"/>
          <w:szCs w:val="32"/>
        </w:rPr>
        <w:t>各位</w:t>
      </w:r>
      <w:r>
        <w:rPr>
          <w:rFonts w:hint="eastAsia" w:ascii="方正仿宋_GB2312" w:hAnsi="方正仿宋_GB2312" w:eastAsia="方正仿宋_GB2312" w:cs="方正仿宋_GB2312"/>
          <w:color w:val="000000"/>
          <w:sz w:val="32"/>
          <w:szCs w:val="32"/>
          <w:lang w:val="en-US" w:eastAsia="zh-CN"/>
        </w:rPr>
        <w:t>常务理事、理事：</w:t>
      </w:r>
    </w:p>
    <w:p w14:paraId="36E6DA2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2025年，在</w:t>
      </w:r>
      <w:r>
        <w:rPr>
          <w:rFonts w:hint="eastAsia" w:ascii="方正仿宋_GB18030" w:hAnsi="方正仿宋_GB18030" w:eastAsia="方正仿宋_GB18030" w:cs="方正仿宋_GB18030"/>
          <w:sz w:val="32"/>
          <w:szCs w:val="32"/>
          <w:lang w:val="en-US" w:eastAsia="zh-CN"/>
        </w:rPr>
        <w:t>省委社会工作部、</w:t>
      </w:r>
      <w:r>
        <w:rPr>
          <w:rFonts w:hint="eastAsia" w:ascii="方正仿宋_GB18030" w:hAnsi="方正仿宋_GB18030" w:eastAsia="方正仿宋_GB18030" w:cs="方正仿宋_GB18030"/>
          <w:sz w:val="32"/>
          <w:szCs w:val="32"/>
        </w:rPr>
        <w:t>省民政厅、省粮食和储备局的指导下，安徽省粮食行业协会坚持以习近平新时代中国特色社会主义思想为指导，深入贯彻习近平总书记关于国家粮食安全的重要论述和考察安徽重要讲话精神，认真学习党的二十大、二十届四中全会、省委十一届十一次全会精神，扎实开展中央八项规定精神学习教育，紧紧围绕省委省政府重大决策部署，以政治建设为引领、以服务大局为主线、以规范建设为抓手，笃行“为企业服务、谋行业发展”宗旨，凝心聚力促发展、主动作为求实效，圆满完成年度各项任务，为全省粮食行业稳定向好发展注入强劲动能。</w:t>
      </w:r>
      <w:r>
        <w:rPr>
          <w:rStyle w:val="5"/>
          <w:rFonts w:hint="eastAsia" w:ascii="方正仿宋_GB2312" w:hAnsi="方正仿宋_GB2312" w:eastAsia="方正仿宋_GB2312" w:cs="方正仿宋_GB2312"/>
          <w:b w:val="0"/>
          <w:bCs w:val="0"/>
          <w:color w:val="000000"/>
          <w:sz w:val="32"/>
          <w:szCs w:val="32"/>
        </w:rPr>
        <w:t>现将20</w:t>
      </w:r>
      <w:r>
        <w:rPr>
          <w:rStyle w:val="5"/>
          <w:rFonts w:hint="eastAsia" w:ascii="方正仿宋_GB2312" w:hAnsi="方正仿宋_GB2312" w:eastAsia="方正仿宋_GB2312" w:cs="方正仿宋_GB2312"/>
          <w:b w:val="0"/>
          <w:bCs w:val="0"/>
          <w:color w:val="000000"/>
          <w:sz w:val="32"/>
          <w:szCs w:val="32"/>
          <w:lang w:val="en-US" w:eastAsia="zh-CN"/>
        </w:rPr>
        <w:t>25</w:t>
      </w:r>
      <w:r>
        <w:rPr>
          <w:rStyle w:val="5"/>
          <w:rFonts w:hint="eastAsia" w:ascii="方正仿宋_GB2312" w:hAnsi="方正仿宋_GB2312" w:eastAsia="方正仿宋_GB2312" w:cs="方正仿宋_GB2312"/>
          <w:b w:val="0"/>
          <w:bCs w:val="0"/>
          <w:color w:val="000000"/>
          <w:sz w:val="32"/>
          <w:szCs w:val="32"/>
        </w:rPr>
        <w:t>年工作情况报告如下，请于审议。</w:t>
      </w:r>
    </w:p>
    <w:p w14:paraId="30EE268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一、强化政治引领，筑牢思想根基</w:t>
      </w:r>
    </w:p>
    <w:p w14:paraId="617B41E4">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43" w:firstLineChars="200"/>
        <w:textAlignment w:val="auto"/>
        <w:rPr>
          <w:rFonts w:hint="eastAsia" w:ascii="方正仿宋_GB18030" w:hAnsi="方正仿宋_GB18030" w:eastAsia="方正仿宋_GB18030" w:cs="方正仿宋_GB18030"/>
          <w:sz w:val="32"/>
          <w:szCs w:val="32"/>
          <w:lang w:val="en-US" w:eastAsia="zh-CN"/>
        </w:rPr>
      </w:pPr>
      <w:r>
        <w:rPr>
          <w:rFonts w:hint="eastAsia" w:ascii="方正楷体_GB2312" w:hAnsi="方正楷体_GB2312" w:eastAsia="方正楷体_GB2312" w:cs="方正楷体_GB2312"/>
          <w:b/>
          <w:bCs/>
          <w:kern w:val="2"/>
          <w:sz w:val="32"/>
          <w:szCs w:val="32"/>
          <w:lang w:val="en-US" w:eastAsia="zh-CN" w:bidi="ar-SA"/>
        </w:rPr>
        <w:t>（一）</w:t>
      </w:r>
      <w:r>
        <w:rPr>
          <w:rFonts w:hint="eastAsia" w:ascii="方正仿宋_GB18030" w:hAnsi="方正仿宋_GB18030" w:eastAsia="方正仿宋_GB18030" w:cs="方正仿宋_GB18030"/>
          <w:b/>
          <w:bCs/>
          <w:sz w:val="32"/>
          <w:szCs w:val="32"/>
        </w:rPr>
        <w:t>深化理论武装不松懈。</w:t>
      </w:r>
      <w:r>
        <w:rPr>
          <w:rFonts w:hint="eastAsia" w:ascii="方正仿宋_GB18030" w:hAnsi="方正仿宋_GB18030" w:eastAsia="方正仿宋_GB18030" w:cs="方正仿宋_GB18030"/>
          <w:sz w:val="32"/>
          <w:szCs w:val="32"/>
        </w:rPr>
        <w:t>始终把学习习近平总书记重要讲话和指示批示精神作为“第一议题”，坚守正确政治方向，组织会员单位深入学习粮食安全重要论述及《粮食安全保障法》等法律法规，全年召开集体学习26次、专题研讨30次、主题党日活动11次、专题党课4次、警示教育活动6次，及时传达全国“两会”及党中央、国务院、省委常委会等重要会议精神。坚持党建引领全局，将党的领导贯穿协会工作全过程，引导会员单位深刻领悟“两个确立”的决定性意义，增强“四个意识”、坚定“四个自信”、做到“两个维护”。</w:t>
      </w:r>
      <w:r>
        <w:rPr>
          <w:rFonts w:hint="eastAsia" w:ascii="方正仿宋_GB18030" w:hAnsi="方正仿宋_GB18030" w:eastAsia="方正仿宋_GB18030" w:cs="方正仿宋_GB18030"/>
          <w:sz w:val="32"/>
          <w:szCs w:val="32"/>
          <w:lang w:val="en-US" w:eastAsia="zh-CN"/>
        </w:rPr>
        <w:t xml:space="preserve"> </w:t>
      </w:r>
    </w:p>
    <w:p w14:paraId="14D5064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3" w:firstLineChars="20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bCs/>
          <w:kern w:val="2"/>
          <w:sz w:val="32"/>
          <w:szCs w:val="32"/>
          <w:lang w:val="en-US" w:eastAsia="zh-CN" w:bidi="ar-SA"/>
        </w:rPr>
        <w:t>（二）</w:t>
      </w:r>
      <w:r>
        <w:rPr>
          <w:rFonts w:hint="eastAsia" w:ascii="方正仿宋_GB18030" w:hAnsi="方正仿宋_GB18030" w:eastAsia="方正仿宋_GB18030" w:cs="方正仿宋_GB18030"/>
          <w:b/>
          <w:bCs/>
          <w:sz w:val="32"/>
          <w:szCs w:val="32"/>
        </w:rPr>
        <w:t>狠抓作风建设不松劲。</w:t>
      </w:r>
      <w:r>
        <w:rPr>
          <w:rFonts w:hint="eastAsia" w:ascii="方正仿宋_GB18030" w:hAnsi="方正仿宋_GB18030" w:eastAsia="方正仿宋_GB18030" w:cs="方正仿宋_GB18030"/>
          <w:sz w:val="32"/>
          <w:szCs w:val="32"/>
        </w:rPr>
        <w:t>按照省局机关党委部署，结合协会实际制定《深入贯彻中央八项规定精神学习教育实施方案》，依托周工作例会、专题会议，深学细悟习近平总书记关于作风建设的重要论述及二十届中央纪委四次全会精神，集中通报违反中央八项规定精神典型案例。协会各部门严格执行规定、做好示范表率，督促会员单位同步开展学习教育，推动协会工作健康规范发展。</w:t>
      </w:r>
    </w:p>
    <w:p w14:paraId="0C7383C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方正仿宋_GB18030" w:hAnsi="方正仿宋_GB18030" w:eastAsia="方正仿宋_GB18030" w:cs="方正仿宋_GB18030"/>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聚焦中心工作，服务发展大局</w:t>
      </w:r>
    </w:p>
    <w:p w14:paraId="10FF0889">
      <w:pPr>
        <w:keepNext w:val="0"/>
        <w:keepLines w:val="0"/>
        <w:pageBreakBefore w:val="0"/>
        <w:widowControl w:val="0"/>
        <w:kinsoku/>
        <w:wordWrap/>
        <w:overflowPunct/>
        <w:topLinePunct w:val="0"/>
        <w:autoSpaceDE/>
        <w:autoSpaceDN/>
        <w:bidi w:val="0"/>
        <w:adjustRightInd w:val="0"/>
        <w:snapToGrid w:val="0"/>
        <w:spacing w:line="540" w:lineRule="exact"/>
        <w:ind w:firstLine="641" w:firstLineChars="20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sz w:val="32"/>
          <w:szCs w:val="32"/>
        </w:rPr>
        <w:t>（</w:t>
      </w:r>
      <w:r>
        <w:rPr>
          <w:rFonts w:hint="eastAsia" w:ascii="方正仿宋_GB18030" w:hAnsi="方正仿宋_GB18030" w:eastAsia="方正仿宋_GB18030" w:cs="方正仿宋_GB18030"/>
          <w:b/>
          <w:bCs/>
          <w:sz w:val="32"/>
          <w:szCs w:val="32"/>
          <w:lang w:val="en-US" w:eastAsia="zh-CN"/>
        </w:rPr>
        <w:t>一</w:t>
      </w:r>
      <w:r>
        <w:rPr>
          <w:rFonts w:hint="eastAsia" w:ascii="方正仿宋_GB18030" w:hAnsi="方正仿宋_GB18030" w:eastAsia="方正仿宋_GB18030" w:cs="方正仿宋_GB18030"/>
          <w:b/>
          <w:bCs/>
          <w:sz w:val="32"/>
          <w:szCs w:val="32"/>
        </w:rPr>
        <w:t>）完善标准体系，赋能产业提质。</w:t>
      </w:r>
      <w:r>
        <w:rPr>
          <w:rFonts w:hint="eastAsia" w:ascii="方正仿宋_GB18030" w:hAnsi="方正仿宋_GB18030" w:eastAsia="方正仿宋_GB18030" w:cs="方正仿宋_GB18030"/>
          <w:sz w:val="32"/>
          <w:szCs w:val="32"/>
        </w:rPr>
        <w:t>依托安徽省团体标准化发展联盟理事单位优势，新增《小麦粉加工技术规程》等团体标准4项，累计发布达17项，填补我省小麦粉类产品团体标准空白，助力粮油产品质量提升、食品安全保障和产业健康发展。组织标准在线解读培训2次，指导会员企业对标生产，推动优质粮油供给占比提升，满足消费者健康安全需求，为“皖美粮油”品牌提质升级筑牢根基。</w:t>
      </w:r>
    </w:p>
    <w:p w14:paraId="1A76638E">
      <w:pPr>
        <w:keepNext w:val="0"/>
        <w:keepLines w:val="0"/>
        <w:pageBreakBefore w:val="0"/>
        <w:widowControl w:val="0"/>
        <w:kinsoku/>
        <w:wordWrap/>
        <w:overflowPunct/>
        <w:topLinePunct w:val="0"/>
        <w:autoSpaceDE/>
        <w:autoSpaceDN/>
        <w:bidi w:val="0"/>
        <w:adjustRightInd w:val="0"/>
        <w:snapToGrid w:val="0"/>
        <w:spacing w:line="540" w:lineRule="exact"/>
        <w:ind w:firstLine="641" w:firstLineChars="20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sz w:val="32"/>
          <w:szCs w:val="32"/>
        </w:rPr>
        <w:t>（</w:t>
      </w:r>
      <w:r>
        <w:rPr>
          <w:rFonts w:hint="eastAsia" w:ascii="方正仿宋_GB18030" w:hAnsi="方正仿宋_GB18030" w:eastAsia="方正仿宋_GB18030" w:cs="方正仿宋_GB18030"/>
          <w:b/>
          <w:bCs/>
          <w:sz w:val="32"/>
          <w:szCs w:val="32"/>
          <w:lang w:val="en-US" w:eastAsia="zh-CN"/>
        </w:rPr>
        <w:t>二</w:t>
      </w:r>
      <w:r>
        <w:rPr>
          <w:rFonts w:hint="eastAsia" w:ascii="方正仿宋_GB18030" w:hAnsi="方正仿宋_GB18030" w:eastAsia="方正仿宋_GB18030" w:cs="方正仿宋_GB18030"/>
          <w:b/>
          <w:bCs/>
          <w:sz w:val="32"/>
          <w:szCs w:val="32"/>
        </w:rPr>
        <w:t>）深化产销对接，拓展发展空间。</w:t>
      </w:r>
      <w:r>
        <w:rPr>
          <w:rFonts w:hint="eastAsia" w:ascii="方正仿宋_GB18030" w:hAnsi="方正仿宋_GB18030" w:eastAsia="方正仿宋_GB18030" w:cs="方正仿宋_GB18030"/>
          <w:sz w:val="32"/>
          <w:szCs w:val="32"/>
        </w:rPr>
        <w:t>协助举办“皖美粮油”“皖美粮机”福建、沈阳、广东推介会及“双招双引”对接会，促成延链补链项目18个，签约金额超20亿元。组织会员企业参与第七届中国粮食交易大会等全国性展会及兄弟省市产销对接活动6次，深化长三角及主销区协作，拓展外销渠道20余条，皖粮外销规模稳步增长。搭建银企合作平台，与徽商银行召开洽谈交流会；协助组织11家粮机企业参加民营企业座谈会、7家粮油企业参加皖疆合作座谈会、6家企业参加全国粮油仓储交流现场会，推动数字技术与粮食产业融合、绿色储粮技术推广，畅通政企、省际、产业协作渠道。</w:t>
      </w:r>
    </w:p>
    <w:p w14:paraId="26A6A972">
      <w:pPr>
        <w:keepNext w:val="0"/>
        <w:keepLines w:val="0"/>
        <w:pageBreakBefore w:val="0"/>
        <w:widowControl w:val="0"/>
        <w:kinsoku/>
        <w:wordWrap/>
        <w:overflowPunct/>
        <w:topLinePunct w:val="0"/>
        <w:autoSpaceDE/>
        <w:autoSpaceDN/>
        <w:bidi w:val="0"/>
        <w:adjustRightInd w:val="0"/>
        <w:snapToGrid w:val="0"/>
        <w:spacing w:line="540" w:lineRule="exact"/>
        <w:ind w:firstLine="641" w:firstLineChars="20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sz w:val="32"/>
          <w:szCs w:val="32"/>
        </w:rPr>
        <w:t>（</w:t>
      </w:r>
      <w:r>
        <w:rPr>
          <w:rFonts w:hint="eastAsia" w:ascii="方正仿宋_GB18030" w:hAnsi="方正仿宋_GB18030" w:eastAsia="方正仿宋_GB18030" w:cs="方正仿宋_GB18030"/>
          <w:b/>
          <w:bCs/>
          <w:sz w:val="32"/>
          <w:szCs w:val="32"/>
          <w:lang w:val="en-US" w:eastAsia="zh-CN"/>
        </w:rPr>
        <w:t>三</w:t>
      </w:r>
      <w:r>
        <w:rPr>
          <w:rFonts w:hint="eastAsia" w:ascii="方正仿宋_GB18030" w:hAnsi="方正仿宋_GB18030" w:eastAsia="方正仿宋_GB18030" w:cs="方正仿宋_GB18030"/>
          <w:b/>
          <w:bCs/>
          <w:sz w:val="32"/>
          <w:szCs w:val="32"/>
        </w:rPr>
        <w:t>）聚焦创新驱动，做强粮油品牌。</w:t>
      </w:r>
      <w:r>
        <w:rPr>
          <w:rFonts w:hint="eastAsia" w:ascii="方正仿宋_GB18030" w:hAnsi="方正仿宋_GB18030" w:eastAsia="方正仿宋_GB18030" w:cs="方正仿宋_GB18030"/>
          <w:sz w:val="32"/>
          <w:szCs w:val="32"/>
        </w:rPr>
        <w:t>“安徽好粮油”遴选持续推进，经多环节严格筛选新增44个产品，6年累计达304个，目前全省有效期内“安徽好粮油”143个、“中国好粮油”40个，后者数量位居全国第二。“皖美粮油”连续七年获评中国粮油榜“中国粮油影响力公共品牌”，入选全省10个社会组织服务品牌范例，协会荣获202</w:t>
      </w:r>
      <w:r>
        <w:rPr>
          <w:rFonts w:hint="eastAsia" w:ascii="方正仿宋_GB18030" w:hAnsi="方正仿宋_GB18030" w:eastAsia="方正仿宋_GB18030" w:cs="方正仿宋_GB18030"/>
          <w:sz w:val="32"/>
          <w:szCs w:val="32"/>
          <w:lang w:val="en-US" w:eastAsia="zh-CN"/>
        </w:rPr>
        <w:t>4</w:t>
      </w:r>
      <w:r>
        <w:rPr>
          <w:rFonts w:hint="eastAsia" w:ascii="方正仿宋_GB18030" w:hAnsi="方正仿宋_GB18030" w:eastAsia="方正仿宋_GB18030" w:cs="方正仿宋_GB18030"/>
          <w:sz w:val="32"/>
          <w:szCs w:val="32"/>
        </w:rPr>
        <w:t>年度社会组织“双招双引”典型案例。全年4次组织23家企业赴多地开展品牌推介，通过CCTV-13《城市天气预报》栏目展示“生态安徽·皖美粮油”品牌矩阵。放心粮油网络稳步扩面，推荐38家企业获评全国第十四批放心粮油示范企业，评定56家会员单位为省级放心粮油示范加工企业，目前全省全国、省级示范企业分别达143家、147家，数量位居全国前列。重点粮油企业专项调查成效显著，16家企业入选全国重点企业名单</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杂粮领域稳居全国第一，主食品加工企业占比达33%，特色产业优势凸显。</w:t>
      </w:r>
    </w:p>
    <w:p w14:paraId="467FF13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方正仿宋_GB18030" w:hAnsi="方正仿宋_GB18030" w:eastAsia="方正仿宋_GB18030" w:cs="方正仿宋_GB18030"/>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w:t>
      </w:r>
      <w:r>
        <w:rPr>
          <w:rFonts w:hint="eastAsia" w:ascii="黑体" w:hAnsi="黑体" w:eastAsia="黑体" w:cs="黑体"/>
          <w:sz w:val="32"/>
          <w:szCs w:val="32"/>
        </w:rPr>
        <w:t>强化行业自律，规范市场秩序</w:t>
      </w:r>
    </w:p>
    <w:p w14:paraId="5E84964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健全行业自律机制，制定会员企业诚信经营公约。配合国家粮食和储备局、省发改委等部门开展“稻花香”大米品牌通用名称、“十五五”粮储规划编制等专题调研，为政府决策提供有力参考。接待中国粮食行业协会、四川省粮食行业协会来皖调研，深化区域合作交流。创新组建“长三角粮食行业协会联盟”，成为全国粮食行业首创，围绕服务为本、标准互认、应急联通等重点，促进长三角粮食行业高质量发展；召开2025长三角秋粮行情研判座谈会，探索跨省粮权置换模式，建立“苏皖粮仓－沪浙市场”流通通道，打造“24小时粮源调度圈”，创新金融护航机制，助力中小企业破解发展难题。</w:t>
      </w:r>
    </w:p>
    <w:p w14:paraId="6355555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方正仿宋_GB18030" w:hAnsi="方正仿宋_GB18030" w:eastAsia="方正仿宋_GB18030" w:cs="方正仿宋_GB18030"/>
          <w:sz w:val="32"/>
          <w:szCs w:val="32"/>
        </w:rPr>
      </w:pPr>
      <w:r>
        <w:rPr>
          <w:rFonts w:hint="eastAsia" w:ascii="黑体" w:hAnsi="黑体" w:eastAsia="黑体" w:cs="黑体"/>
          <w:sz w:val="32"/>
          <w:szCs w:val="32"/>
        </w:rPr>
        <w:t>四</w:t>
      </w:r>
      <w:r>
        <w:rPr>
          <w:rFonts w:hint="eastAsia" w:ascii="黑体" w:hAnsi="黑体" w:eastAsia="黑体" w:cs="黑体"/>
          <w:sz w:val="32"/>
          <w:szCs w:val="32"/>
          <w:lang w:eastAsia="zh-CN"/>
        </w:rPr>
        <w:t>、</w:t>
      </w:r>
      <w:r>
        <w:rPr>
          <w:rFonts w:hint="eastAsia" w:ascii="黑体" w:hAnsi="黑体" w:eastAsia="黑体" w:cs="黑体"/>
          <w:sz w:val="32"/>
          <w:szCs w:val="32"/>
        </w:rPr>
        <w:t>优化会员服务，增强协会凝聚力</w:t>
      </w:r>
    </w:p>
    <w:p w14:paraId="639FFE14">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扩容提质会员队伍，新增会员单位37家，总数达360家，实现粮食生产、储备、加工、流通全产业链覆盖。搭建多元交流平台，组织行业研讨会、座谈会5场，促进企业资源共享、优势互补。畅通政策传达渠道，推送涉粮补贴、税收优惠等信息</w:t>
      </w:r>
      <w:r>
        <w:rPr>
          <w:rFonts w:hint="eastAsia" w:ascii="方正仿宋_GB18030" w:hAnsi="方正仿宋_GB18030" w:eastAsia="方正仿宋_GB18030" w:cs="方正仿宋_GB18030"/>
          <w:sz w:val="32"/>
          <w:szCs w:val="32"/>
          <w:lang w:val="en-US" w:eastAsia="zh-CN"/>
        </w:rPr>
        <w:t>200</w:t>
      </w:r>
      <w:r>
        <w:rPr>
          <w:rFonts w:hint="eastAsia" w:ascii="方正仿宋_GB18030" w:hAnsi="方正仿宋_GB18030" w:eastAsia="方正仿宋_GB18030" w:cs="方正仿宋_GB18030"/>
          <w:sz w:val="32"/>
          <w:szCs w:val="32"/>
        </w:rPr>
        <w:t>余条，协助会员企业争取政策支持。规范协会治理，严格会费收支管理，召开五届三次会长办公会、二届三次监事会，顺利完成理事会、常务理事会各项表决事项。强化队伍建设，提升工作人员业务素养和政策水平，对标长三角先发地区经验，以政府思维抓管理、以市场思维谋发展，全力打造党委政府信赖、会员单位满意、社会公众认可的行业平台。</w:t>
      </w:r>
    </w:p>
    <w:p w14:paraId="0D6946F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616B7F0E-6AC6-4EEF-BC9D-D357E94FAF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6CD4AE5-B7EE-4301-971A-6350958E354C}"/>
  </w:font>
  <w:font w:name="方正仿宋_GB2312">
    <w:panose1 w:val="02000000000000000000"/>
    <w:charset w:val="86"/>
    <w:family w:val="auto"/>
    <w:pitch w:val="default"/>
    <w:sig w:usb0="A00002BF" w:usb1="184F6CFA" w:usb2="00000012" w:usb3="00000000" w:csb0="00040001" w:csb1="00000000"/>
    <w:embedRegular r:id="rId3" w:fontKey="{0116ED85-2D64-44A4-82B0-D51E8C10A09D}"/>
  </w:font>
  <w:font w:name="方正小标宋_GBK">
    <w:panose1 w:val="03000509000000000000"/>
    <w:charset w:val="86"/>
    <w:family w:val="script"/>
    <w:pitch w:val="default"/>
    <w:sig w:usb0="00000001" w:usb1="080E0000" w:usb2="00000000" w:usb3="00000000" w:csb0="00040000" w:csb1="00000000"/>
    <w:embedRegular r:id="rId4" w:fontKey="{EA62C685-BFAA-4D96-B664-0C40835ACE3F}"/>
  </w:font>
  <w:font w:name="方正仿宋_GB18030">
    <w:panose1 w:val="02000000000000000000"/>
    <w:charset w:val="86"/>
    <w:family w:val="auto"/>
    <w:pitch w:val="default"/>
    <w:sig w:usb0="00000001" w:usb1="08000000" w:usb2="00000000" w:usb3="00000000" w:csb0="00040000" w:csb1="00000000"/>
    <w:embedRegular r:id="rId5" w:fontKey="{5C2435D9-3601-41CE-A587-12B210C113EB}"/>
  </w:font>
  <w:font w:name="方正楷体_GB2312">
    <w:altName w:val="楷体_GB2312"/>
    <w:panose1 w:val="02000000000000000000"/>
    <w:charset w:val="86"/>
    <w:family w:val="auto"/>
    <w:pitch w:val="default"/>
    <w:sig w:usb0="00000000" w:usb1="00000000" w:usb2="00000012" w:usb3="00000000" w:csb0="00040001" w:csb1="00000000"/>
    <w:embedRegular r:id="rId6" w:fontKey="{450BD931-40BB-45BF-A5F4-4F5943D74756}"/>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C73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5"/>
    <w:qFormat/>
    <w:uiPriority w:val="0"/>
    <w:pPr>
      <w:keepNext/>
      <w:keepLines/>
      <w:spacing w:before="260" w:after="260" w:line="408" w:lineRule="auto"/>
      <w:outlineLvl w:val="1"/>
    </w:pPr>
    <w:rPr>
      <w:rFonts w:ascii="Arial" w:hAnsi="Arial" w:eastAsia="黑体"/>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标题 2 Char"/>
    <w:basedOn w:val="4"/>
    <w:link w:val="2"/>
    <w:qFormat/>
    <w:uiPriority w:val="0"/>
    <w:rPr>
      <w:rFonts w:ascii="Arial" w:hAnsi="Arial" w:eastAsia="黑体"/>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2026-05-22T09:36:19Z</dcterms:created>
  <dc:creator>韩综合部</dc:creator>
  <cp:lastModifiedBy>韩倩倩</cp:lastModifiedBy>
  <dcterms:modified xsi:type="dcterms:W3CDTF">2026-05-22T09:36:23Z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eyJoZGlkIjoiZDM1M2Q1MGI3ZDQzNjljMDI1NWU3MGY4Yzg2ZmUwYzMiLCJ1c2VySWQiOiI1NDQ5MjIyNjMifQ==</vt:lpwstr>
  </property>
  <property fmtid="{D5CDD505-2E9C-101B-9397-08002B2CF9AE}" pid="4" name="ICV">
    <vt:lpwstr>D70DA41C645346699AE2424E08FD02F5_12</vt:lpwstr>
  </property>
</Properties>
</file>