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
<Relationships xmlns="http://schemas.openxmlformats.org/package/2006/relationships"><Relationship Id="rId1" Type="http://schemas.openxmlformats.org/package/2006/relationships/metadata/core-properties" Target="docProps/core.xml"></Relationship><Relationship Id="rId2" Type="http://schemas.openxmlformats.org/officeDocument/2006/relationships/extended-properties" Target="docProps/app.xml"></Relationship><Relationship Id="rId3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 xmlns:w14="http://schemas.microsoft.com/office/word/2010/wordml" xmlns:wpi="http://schemas.microsoft.com/office/word/2010/wordprocessingInk">
  <w:body>
    <w:p>
      <w:pPr>
        <w:numPr>
          <w:ilvl w:val="0"/>
          <w:numId w:val="0"/>
        </w:numPr>
        <w:jc w:val="left"/>
        <w:spacing w:lineRule="exact" w:line="720" w:before="0" w:after="0"/>
        <w:ind w:right="0" w:firstLine="0"/>
        <w:rPr>
          <w:color w:val="auto"/>
          <w:position w:val="0"/>
          <w:sz w:val="32"/>
          <w:szCs w:val="32"/>
          <w:rFonts w:ascii="方正小标宋_GBK" w:eastAsia="方正小标宋_GBK" w:hAnsi="方正小标宋_GBK" w:hint="default"/>
        </w:rPr>
        <w:autoSpaceDE w:val="1"/>
        <w:autoSpaceDN w:val="1"/>
      </w:pPr>
      <w:r>
        <w:rPr>
          <w:color w:val="auto"/>
          <w:position w:val="0"/>
          <w:sz w:val="32"/>
          <w:szCs w:val="32"/>
          <w:rFonts w:ascii="方正小标宋_GBK" w:eastAsia="方正小标宋_GBK" w:hAnsi="方正小标宋_GBK" w:hint="default"/>
        </w:rPr>
        <w:t>附件1：</w:t>
      </w:r>
    </w:p>
    <w:p>
      <w:pPr>
        <w:numPr>
          <w:ilvl w:val="0"/>
          <w:numId w:val="0"/>
        </w:numPr>
        <w:jc w:val="both"/>
        <w:spacing w:lineRule="exact" w:line="720" w:before="0" w:after="0"/>
        <w:ind w:right="0" w:firstLine="0"/>
        <w:rPr>
          <w:color w:val="auto"/>
          <w:position w:val="0"/>
          <w:sz w:val="44"/>
          <w:szCs w:val="44"/>
          <w:rFonts w:ascii="方正小标宋_GBK" w:eastAsia="方正小标宋_GBK" w:hAnsi="方正小标宋_GBK" w:hint="default"/>
        </w:rPr>
        <w:autoSpaceDE w:val="1"/>
        <w:autoSpaceDN w:val="1"/>
      </w:pPr>
    </w:p>
    <w:p>
      <w:pPr>
        <w:numPr>
          <w:ilvl w:val="0"/>
          <w:numId w:val="0"/>
        </w:numPr>
        <w:jc w:val="center"/>
        <w:spacing w:lineRule="exact" w:line="720" w:before="0" w:after="0"/>
        <w:ind w:right="0" w:firstLine="0"/>
        <w:rPr>
          <w:color w:val="auto"/>
          <w:position w:val="0"/>
          <w:sz w:val="44"/>
          <w:szCs w:val="44"/>
          <w:rFonts w:ascii="方正小标宋_GBK" w:eastAsia="方正小标宋_GBK" w:hAnsi="方正小标宋_GBK" w:hint="default"/>
        </w:rPr>
        <w:autoSpaceDE w:val="1"/>
        <w:autoSpaceDN w:val="1"/>
      </w:pPr>
      <w:r>
        <w:rPr>
          <w:color w:val="auto"/>
          <w:position w:val="0"/>
          <w:sz w:val="44"/>
          <w:szCs w:val="44"/>
          <w:rFonts w:ascii="方正小标宋_GBK" w:eastAsia="方正小标宋_GBK" w:hAnsi="方正小标宋_GBK" w:hint="default"/>
        </w:rPr>
        <w:t>安徽省粮食行业协会2017年工作总结</w:t>
      </w:r>
    </w:p>
    <w:p>
      <w:pPr>
        <w:numPr>
          <w:ilvl w:val="0"/>
          <w:numId w:val="0"/>
        </w:numPr>
        <w:jc w:val="center"/>
        <w:spacing w:lineRule="exact" w:line="520" w:before="0" w:after="0"/>
        <w:ind w:right="0" w:firstLine="0"/>
        <w:rPr>
          <w:color w:val="000000" w:themeColor="text1"/>
          <w:position w:val="0"/>
          <w:sz w:val="32"/>
          <w:szCs w:val="32"/>
          <w:rFonts w:ascii="楷体_GB2312" w:eastAsia="楷体_GB2312" w:hAnsi="楷体_GB2312" w:hint="default"/>
        </w:rPr>
        <w:autoSpaceDE w:val="1"/>
        <w:autoSpaceDN w:val="1"/>
      </w:pPr>
      <w:r>
        <w:rPr>
          <w:color w:val="000000" w:themeColor="text1"/>
          <w:position w:val="0"/>
          <w:sz w:val="32"/>
          <w:szCs w:val="32"/>
          <w:rFonts w:ascii="楷体_GB2312" w:eastAsia="楷体_GB2312" w:hAnsi="楷体_GB2312" w:hint="default"/>
        </w:rPr>
        <w:t xml:space="preserve"> (讨论稿)</w:t>
      </w:r>
    </w:p>
    <w:p>
      <w:pPr>
        <w:numPr>
          <w:ilvl w:val="0"/>
          <w:numId w:val="0"/>
        </w:numPr>
        <w:jc w:val="both"/>
        <w:spacing w:lineRule="exact" w:line="520" w:before="0" w:after="0"/>
        <w:ind w:right="0" w:firstLine="566"/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autoSpaceDE w:val="1"/>
        <w:autoSpaceDN w:val="1"/>
      </w:pPr>
    </w:p>
    <w:p>
      <w:pPr>
        <w:numPr>
          <w:ilvl w:val="0"/>
          <w:numId w:val="0"/>
        </w:numPr>
        <w:jc w:val="both"/>
        <w:spacing w:lineRule="exact" w:line="520" w:before="0" w:after="0"/>
        <w:ind w:right="0" w:firstLine="640"/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autoSpaceDE w:val="1"/>
        <w:autoSpaceDN w:val="1"/>
      </w:pPr>
    </w:p>
    <w:p>
      <w:pPr>
        <w:numPr>
          <w:ilvl w:val="0"/>
          <w:numId w:val="0"/>
        </w:numPr>
        <w:jc w:val="both"/>
        <w:spacing w:lineRule="exact" w:line="520" w:before="0" w:after="0"/>
        <w:ind w:right="0" w:firstLine="640"/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autoSpaceDE w:val="1"/>
        <w:autoSpaceDN w:val="1"/>
      </w:pP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2017年，安徽省粮食行业协会在省粮食局和省民政厅的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指导下，在各市粮食行业协会、各位理事和全体会员的共同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努力和大力支持下，按照“为企业服务，谋行业发展”的工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作宗旨，践行“五大发展”理念，推进“五个皖粮”建设，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以安徽粮食工作为中心，完善自身建设，加强行业自律，创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新服务方式，提高服务质量，开创了协会工作新局面，进一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步推动了协会各方面的发展。2017年3月份，安徽省粮食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 xml:space="preserve">行业协会荣获第五届省级 “百优社会组织”称号，这是协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会连续五届荣膺此项殊荣。</w:t>
      </w:r>
    </w:p>
    <w:p>
      <w:pPr>
        <w:numPr>
          <w:ilvl w:val="0"/>
          <w:numId w:val="0"/>
        </w:numPr>
        <w:jc w:val="both"/>
        <w:spacing w:lineRule="exact" w:line="520" w:before="0" w:after="0"/>
        <w:ind w:right="0" w:firstLine="566"/>
        <w:rPr>
          <w:color w:val="auto"/>
          <w:position w:val="0"/>
          <w:sz w:val="32"/>
          <w:szCs w:val="32"/>
          <w:rFonts w:ascii="方正黑体_GBK" w:eastAsia="方正黑体_GBK" w:hAnsi="方正黑体_GBK" w:hint="default"/>
        </w:rPr>
        <w:autoSpaceDE w:val="1"/>
        <w:autoSpaceDN w:val="1"/>
      </w:pPr>
      <w:r>
        <w:rPr>
          <w:color w:val="auto"/>
          <w:position w:val="0"/>
          <w:sz w:val="32"/>
          <w:szCs w:val="32"/>
          <w:rFonts w:ascii="方正黑体_GBK" w:eastAsia="方正黑体_GBK" w:hAnsi="方正黑体_GBK" w:hint="default"/>
        </w:rPr>
        <w:t>一、遵章建制，协会自身建设更趋完善</w:t>
      </w:r>
    </w:p>
    <w:p>
      <w:pPr>
        <w:numPr>
          <w:ilvl w:val="0"/>
          <w:numId w:val="0"/>
        </w:numPr>
        <w:jc w:val="both"/>
        <w:spacing w:lineRule="exact" w:line="520" w:before="0" w:after="0"/>
        <w:ind w:right="0" w:firstLine="569"/>
        <w:rPr>
          <w:b w:val="1"/>
          <w:color w:val="auto"/>
          <w:position w:val="0"/>
          <w:sz w:val="32"/>
          <w:szCs w:val="32"/>
          <w:rFonts w:ascii="楷体_GB2312" w:eastAsia="楷体_GB2312" w:hAnsi="楷体_GB2312" w:hint="default"/>
        </w:rPr>
        <w:autoSpaceDE w:val="1"/>
        <w:autoSpaceDN w:val="1"/>
      </w:pPr>
      <w:r>
        <w:rPr>
          <w:b w:val="1"/>
          <w:color w:val="auto"/>
          <w:position w:val="0"/>
          <w:sz w:val="32"/>
          <w:szCs w:val="32"/>
          <w:rFonts w:ascii="楷体_GB2312" w:eastAsia="楷体_GB2312" w:hAnsi="楷体_GB2312" w:hint="default"/>
        </w:rPr>
        <w:t>一是召开会长办公会。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2017年3月10日在合肥召开四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届二次会长办公会，会议全面总结了协会2016年工作情况，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讨论安排了2017年工作；听取了2016年会费收支情况报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告和主食厨房分会筹备情况；审议讨论通过了首批安徽省放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心粮油示范加工企业复评通过企业名单；举行副会长单位授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牌仪式。10月20日在巢湖召开四届三次会长办公会，表决审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议了第四届理事会年度工作总结和监事会工作规则，第二批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放心粮油复评的企业名单、第六批安徽省示范粮油加工企业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 xml:space="preserve">名单和2016年度我省粮油加工企业“20强”、“ 10强”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名单；举行轮值会长交接仪式；同意调整纪建平、王俊和向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晟三位同志为协会副会长和合肥集拓节电科技有限公司等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26家单位为协会会员单位。</w:t>
      </w:r>
    </w:p>
    <w:p>
      <w:pPr>
        <w:numPr>
          <w:ilvl w:val="0"/>
          <w:numId w:val="0"/>
        </w:numPr>
        <w:jc w:val="both"/>
        <w:spacing w:lineRule="exact" w:line="520" w:before="0" w:after="0"/>
        <w:ind w:right="0" w:firstLine="569"/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autoSpaceDE w:val="1"/>
        <w:autoSpaceDN w:val="1"/>
      </w:pPr>
      <w:r>
        <w:rPr>
          <w:b w:val="1"/>
          <w:color w:val="auto"/>
          <w:position w:val="0"/>
          <w:sz w:val="32"/>
          <w:szCs w:val="32"/>
          <w:rFonts w:ascii="楷体_GB2312" w:eastAsia="楷体_GB2312" w:hAnsi="楷体_GB2312" w:hint="default"/>
        </w:rPr>
        <w:t>二是召开四届二次会员代表大会。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2017年12月8日，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在望江召开安徽省粮食行业协会四届二次会员代表大会。会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议审议通过了安徽省粮食行业协会第四届理事会2016-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2017年度工作总结、《安徽省粮食行业协会监事会工作规则》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和《安徽省粮食行业协会章程》；选举成立了安徽省粮食行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业协会监事会和安徽省粮食行业协会粮油加工机械分会；举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行了2016年度安徽省粮油加工企业“20强”、“10强”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企业和第六批安徽省放心粮油示范加工企业授牌仪式；听取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了省粮油产品质量监督监测站专家关于“中国好粮油”产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品申报注意事项的讲解和省质量和标准化研究院专家关于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“安徽名牌”农产品申报评价事项的讲解；参观了安徽联河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股份有限公司生产和自动化包装车间。</w:t>
      </w:r>
    </w:p>
    <w:p>
      <w:pPr>
        <w:numPr>
          <w:ilvl w:val="0"/>
          <w:numId w:val="0"/>
        </w:numPr>
        <w:jc w:val="both"/>
        <w:spacing w:lineRule="exact" w:line="520" w:before="0" w:after="0"/>
        <w:ind w:right="0" w:firstLine="643"/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autoSpaceDE w:val="1"/>
        <w:autoSpaceDN w:val="1"/>
      </w:pPr>
      <w:r>
        <w:rPr>
          <w:b w:val="1"/>
          <w:color w:val="auto"/>
          <w:position w:val="0"/>
          <w:sz w:val="32"/>
          <w:szCs w:val="32"/>
          <w:rFonts w:ascii="楷体_GB2312" w:eastAsia="楷体_GB2312" w:hAnsi="楷体_GB2312" w:hint="default"/>
        </w:rPr>
        <w:t>三是成立监事会机构。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12月8日，在安徽省粮食行业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协会四届二次会员代表大会上，选举成立了以安徽安粮控股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股份有限公司副总裁曹训立为监事长，全椒光明米业有限公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司董事长胡宏水、安徽省徽观生态农业科技有限公司董事长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严伟龙为监事的监事会机构。</w:t>
      </w:r>
    </w:p>
    <w:p>
      <w:pPr>
        <w:numPr>
          <w:ilvl w:val="0"/>
          <w:numId w:val="0"/>
        </w:numPr>
        <w:jc w:val="both"/>
        <w:spacing w:lineRule="exact" w:line="520" w:before="0" w:after="0"/>
        <w:ind w:right="0" w:firstLine="643"/>
        <w:rPr>
          <w:b w:val="1"/>
          <w:color w:val="auto"/>
          <w:position w:val="0"/>
          <w:sz w:val="32"/>
          <w:szCs w:val="32"/>
          <w:rFonts w:ascii="楷体_GB2312" w:eastAsia="楷体_GB2312" w:hAnsi="楷体_GB2312" w:hint="default"/>
        </w:rPr>
        <w:autoSpaceDE w:val="1"/>
        <w:autoSpaceDN w:val="1"/>
      </w:pPr>
      <w:r>
        <w:rPr>
          <w:b w:val="1"/>
          <w:color w:val="auto"/>
          <w:position w:val="0"/>
          <w:sz w:val="32"/>
          <w:szCs w:val="32"/>
          <w:rFonts w:ascii="楷体_GB2312" w:eastAsia="楷体_GB2312" w:hAnsi="楷体_GB2312" w:hint="default"/>
        </w:rPr>
        <w:t>四是成立粮油加工机械分会。</w:t>
      </w:r>
      <w:r>
        <w:rPr>
          <w:color w:val="auto"/>
          <w:position w:val="0"/>
          <w:sz w:val="32"/>
          <w:szCs w:val="32"/>
          <w:rFonts w:ascii="楷体_GB2312" w:eastAsia="楷体_GB2312" w:hAnsi="楷体_GB2312" w:hint="default"/>
        </w:rPr>
        <w:t>12月8日，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安徽省粮食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行业协会粮油加工机械分会成立大会顺利召开，选举以合肥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美亚光电技术股份有限公司副总经理向晟为理事长的粮油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机械加工分会，其中副理事长5名，理事33名。</w:t>
      </w:r>
    </w:p>
    <w:p>
      <w:pPr>
        <w:numPr>
          <w:ilvl w:val="0"/>
          <w:numId w:val="0"/>
        </w:numPr>
        <w:jc w:val="both"/>
        <w:spacing w:lineRule="exact" w:line="520" w:before="0" w:after="0"/>
        <w:ind w:right="0" w:firstLine="569"/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autoSpaceDE w:val="1"/>
        <w:autoSpaceDN w:val="1"/>
      </w:pPr>
      <w:r>
        <w:rPr>
          <w:b w:val="1"/>
          <w:color w:val="auto"/>
          <w:position w:val="0"/>
          <w:sz w:val="32"/>
          <w:szCs w:val="32"/>
          <w:rFonts w:ascii="楷体_GB2312" w:eastAsia="楷体_GB2312" w:hAnsi="楷体_GB2312" w:hint="default"/>
        </w:rPr>
        <w:t>五是召开四届一次理事（通讯）会议。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 会议审议通过了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《安徽省粮食行业协会2016年工作情况报告》、《安徽省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粮食行业协会2017年工作要点》，发放了《意见反馈表》。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据统计，209位理事无一人反对，全票通过《安徽省粮食行业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协会2016年工作总结和2017年工作要点》。</w:t>
      </w:r>
    </w:p>
    <w:p>
      <w:pPr>
        <w:numPr>
          <w:ilvl w:val="0"/>
          <w:numId w:val="0"/>
        </w:numPr>
        <w:jc w:val="both"/>
        <w:spacing w:lineRule="exact" w:line="520" w:before="0" w:after="0"/>
        <w:ind w:right="0" w:firstLine="643"/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autoSpaceDE w:val="1"/>
        <w:autoSpaceDN w:val="1"/>
      </w:pPr>
      <w:r>
        <w:rPr>
          <w:b w:val="1"/>
          <w:color w:val="auto"/>
          <w:position w:val="0"/>
          <w:sz w:val="32"/>
          <w:szCs w:val="32"/>
          <w:rFonts w:ascii="楷体_GB2312" w:eastAsia="楷体_GB2312" w:hAnsi="楷体_GB2312" w:hint="default"/>
        </w:rPr>
        <w:t>六是建立健全党组织建设。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中共安徽省粮食行业协会党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支部自成立以来，省协会设立党员活动室，按时定期召开支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部活动，认真学习贯彻党的十八大、十九大精神和习近平总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书记系列重要讲话精神，以加强自身建设为重点，深入开展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“两学一做”学习教育，不断完善工作机制，创新工作方法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，丰富活动载体，党建工作取得了一定成效。</w:t>
      </w:r>
    </w:p>
    <w:p>
      <w:pPr>
        <w:numPr>
          <w:ilvl w:val="0"/>
          <w:numId w:val="0"/>
        </w:numPr>
        <w:jc w:val="both"/>
        <w:spacing w:lineRule="exact" w:line="520" w:before="0" w:after="0"/>
        <w:ind w:right="0" w:firstLine="566"/>
        <w:rPr>
          <w:color w:val="auto"/>
          <w:position w:val="0"/>
          <w:sz w:val="32"/>
          <w:szCs w:val="32"/>
          <w:rFonts w:ascii="方正黑体_GBK" w:eastAsia="方正黑体_GBK" w:hAnsi="方正黑体_GBK" w:hint="default"/>
        </w:rPr>
        <w:autoSpaceDE w:val="1"/>
        <w:autoSpaceDN w:val="1"/>
      </w:pPr>
      <w:r>
        <w:rPr>
          <w:color w:val="auto"/>
          <w:position w:val="0"/>
          <w:sz w:val="32"/>
          <w:szCs w:val="32"/>
          <w:rFonts w:ascii="方正黑体_GBK" w:eastAsia="方正黑体_GBK" w:hAnsi="方正黑体_GBK" w:hint="default"/>
        </w:rPr>
        <w:t>二、发挥优势，专业分会活动异彩纷呈</w:t>
      </w:r>
    </w:p>
    <w:p>
      <w:pPr>
        <w:numPr>
          <w:ilvl w:val="0"/>
          <w:numId w:val="0"/>
        </w:numPr>
        <w:jc w:val="both"/>
        <w:spacing w:lineRule="exact" w:line="520" w:before="0" w:after="0"/>
        <w:ind w:right="0" w:firstLine="566"/>
        <w:rPr>
          <w:color w:val="auto"/>
          <w:position w:val="0"/>
          <w:sz w:val="32"/>
          <w:szCs w:val="32"/>
          <w:rFonts w:ascii="方正黑体_GBK" w:eastAsia="方正黑体_GBK" w:hAnsi="方正黑体_GBK" w:hint="default"/>
        </w:rPr>
        <w:autoSpaceDE w:val="1"/>
        <w:autoSpaceDN w:val="1"/>
      </w:pP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协会开展活动主要以专业分会活动为主，充分发挥“以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 xml:space="preserve">活动连会员，以服务促发展” 的宗旨，以“五会”为活动形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式，遵循</w:t>
      </w:r>
      <w:r>
        <w:rPr>
          <w:rStyle w:val="PO157"/>
          <w:b w:val="0"/>
          <w:color w:val="auto"/>
          <w:position w:val="0"/>
          <w:sz w:val="32"/>
          <w:szCs w:val="32"/>
          <w:rFonts w:ascii="仿宋_GB2312" w:eastAsia="仿宋_GB2312" w:hAnsi="仿宋_GB2312" w:hint="default"/>
        </w:rPr>
        <w:t>“八个转变”的工作思路，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增强会员活力，增加协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会凝聚力。</w:t>
      </w:r>
    </w:p>
    <w:p>
      <w:pPr>
        <w:numPr>
          <w:ilvl w:val="0"/>
          <w:numId w:val="0"/>
        </w:numPr>
        <w:jc w:val="both"/>
        <w:spacing w:lineRule="exact" w:line="520" w:before="0" w:after="0"/>
        <w:ind w:right="0" w:firstLine="569"/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autoSpaceDE w:val="1"/>
        <w:autoSpaceDN w:val="1"/>
      </w:pPr>
      <w:r>
        <w:rPr>
          <w:b w:val="1"/>
          <w:color w:val="auto"/>
          <w:position w:val="0"/>
          <w:sz w:val="32"/>
          <w:szCs w:val="32"/>
          <w:rFonts w:ascii="楷体_GB2312" w:eastAsia="楷体_GB2312" w:hAnsi="楷体_GB2312" w:hint="default"/>
        </w:rPr>
        <w:t>一是大米分会组织会员参加2017年粮食加工技术创新</w:t>
      </w:r>
      <w:r>
        <w:rPr>
          <w:b w:val="1"/>
          <w:color w:val="auto"/>
          <w:position w:val="0"/>
          <w:sz w:val="32"/>
          <w:szCs w:val="32"/>
          <w:rFonts w:ascii="楷体_GB2312" w:eastAsia="楷体_GB2312" w:hAnsi="楷体_GB2312" w:hint="default"/>
        </w:rPr>
        <w:t>与发展研讨会。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4月22日，由中国农业机械工业协会粮油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加工机械分会主办的2017年粮食加工技术创新与发展研讨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会在我省六安市召开，大米分会积极组织会员企业参会。此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次研讨会为企业搭建粮食加工新技术、新产品、新装备和新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思维的跨界、融合、创新平台，加强装备工程服务企业与客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户的了解与沟通，与会代表普遍反映会议内容接地气、有深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度。</w:t>
      </w:r>
    </w:p>
    <w:p>
      <w:pPr>
        <w:numPr>
          <w:ilvl w:val="0"/>
          <w:numId w:val="0"/>
        </w:numPr>
        <w:jc w:val="both"/>
        <w:spacing w:lineRule="exact" w:line="520" w:before="0" w:after="0"/>
        <w:ind w:right="0" w:firstLine="569"/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autoSpaceDE w:val="1"/>
        <w:autoSpaceDN w:val="1"/>
      </w:pPr>
      <w:r>
        <w:rPr>
          <w:b w:val="1"/>
          <w:color w:val="auto"/>
          <w:position w:val="0"/>
          <w:sz w:val="32"/>
          <w:szCs w:val="32"/>
          <w:rFonts w:ascii="楷体_GB2312" w:eastAsia="楷体_GB2312" w:hAnsi="楷体_GB2312" w:hint="default"/>
        </w:rPr>
        <w:t>二是油脂分会组织会员参加2017期权推介会第三期暨</w:t>
      </w:r>
      <w:r>
        <w:rPr>
          <w:b w:val="1"/>
          <w:color w:val="auto"/>
          <w:position w:val="0"/>
          <w:sz w:val="32"/>
          <w:szCs w:val="32"/>
          <w:rFonts w:ascii="楷体_GB2312" w:eastAsia="楷体_GB2312" w:hAnsi="楷体_GB2312" w:hint="default"/>
        </w:rPr>
        <w:t>农产品投资分析展望沙龙。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4月22日，由徽商期货举办的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2017期权推介会第三期暨农产品投资分析展望沙龙在合肥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召开，油脂分会特邀请会员企业参会。此次会议帮助企业、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机构和投资者及时准确把握最新农产品供需、生产、贸易，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以及动荡的行情，正确利用期货市场进行套期保值、规避市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场价格低迷风险，促进企业有序、健康发展。同时为油脂加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工企业、粮油经纪人等搭建信息沟通和供求平台。</w:t>
      </w:r>
    </w:p>
    <w:p>
      <w:pPr>
        <w:numPr>
          <w:ilvl w:val="0"/>
          <w:numId w:val="0"/>
        </w:numPr>
        <w:jc w:val="both"/>
        <w:spacing w:lineRule="exact" w:line="520" w:before="0" w:after="0"/>
        <w:ind w:right="0" w:firstLine="569"/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autoSpaceDE w:val="1"/>
        <w:autoSpaceDN w:val="1"/>
      </w:pPr>
      <w:r>
        <w:rPr>
          <w:b w:val="1"/>
          <w:color w:val="auto"/>
          <w:position w:val="0"/>
          <w:sz w:val="32"/>
          <w:szCs w:val="32"/>
          <w:rFonts w:ascii="楷体_GB2312" w:eastAsia="楷体_GB2312" w:hAnsi="楷体_GB2312" w:hint="default"/>
        </w:rPr>
        <w:t>三是面粉分会组织召开2017年安徽省面粉行业发展研</w:t>
      </w:r>
      <w:r>
        <w:rPr>
          <w:b w:val="1"/>
          <w:color w:val="auto"/>
          <w:position w:val="0"/>
          <w:sz w:val="32"/>
          <w:szCs w:val="32"/>
          <w:rFonts w:ascii="楷体_GB2312" w:eastAsia="楷体_GB2312" w:hAnsi="楷体_GB2312" w:hint="default"/>
        </w:rPr>
        <w:t>讨会。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5月27日，安徽省粮食行业协会面粉分会组织的2017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年安徽省面粉行业发展研讨会在阜阳召开。会议邀请专家就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当前面粉企业生产经营情况、2017年小麦收储政策形势、小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麦加工新技术应用和清理分选技术等方面做专题报告，为我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省面粉加工企业分析判断2017年夏粮收购形势及走势，制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定科学收粮策略，采用新方法提升制粉技术水平等方面助力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助策，受到参会代表的一致称赞。会议要求，各面粉加工企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业要严格遵守并履行《安徽省面粉加工行业自律公约》，加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强行业自律与行业管理，保护面粉行业、面粉加工企业的合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法权益，促进面粉加工行业的持续健康发展，以共同维护食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品安全。</w:t>
      </w:r>
    </w:p>
    <w:p>
      <w:pPr>
        <w:numPr>
          <w:ilvl w:val="0"/>
          <w:numId w:val="0"/>
        </w:numPr>
        <w:jc w:val="both"/>
        <w:spacing w:lineRule="exact" w:line="520" w:before="0" w:after="0"/>
        <w:ind w:right="0" w:firstLine="566"/>
        <w:rPr>
          <w:color w:val="auto"/>
          <w:position w:val="0"/>
          <w:sz w:val="32"/>
          <w:szCs w:val="32"/>
          <w:rFonts w:ascii="方正黑体_GBK" w:eastAsia="方正黑体_GBK" w:hAnsi="方正黑体_GBK" w:hint="default"/>
        </w:rPr>
        <w:autoSpaceDE w:val="1"/>
        <w:autoSpaceDN w:val="1"/>
      </w:pPr>
      <w:r>
        <w:rPr>
          <w:color w:val="auto"/>
          <w:position w:val="0"/>
          <w:sz w:val="32"/>
          <w:szCs w:val="32"/>
          <w:rFonts w:ascii="方正黑体_GBK" w:eastAsia="方正黑体_GBK" w:hAnsi="方正黑体_GBK" w:hint="default"/>
        </w:rPr>
        <w:t>三、服务民生，放心粮油示范工程深入推进</w:t>
      </w:r>
    </w:p>
    <w:p>
      <w:pPr>
        <w:numPr>
          <w:ilvl w:val="0"/>
          <w:numId w:val="0"/>
        </w:numPr>
        <w:jc w:val="both"/>
        <w:spacing w:lineRule="exact" w:line="520" w:before="0" w:after="0"/>
        <w:ind w:right="0" w:firstLine="569"/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autoSpaceDE w:val="1"/>
        <w:autoSpaceDN w:val="1"/>
      </w:pPr>
      <w:r>
        <w:rPr>
          <w:b w:val="1"/>
          <w:color w:val="auto"/>
          <w:position w:val="0"/>
          <w:sz w:val="32"/>
          <w:szCs w:val="32"/>
          <w:rFonts w:ascii="楷体_GB2312" w:eastAsia="楷体_GB2312" w:hAnsi="楷体_GB2312" w:hint="default"/>
        </w:rPr>
        <w:t>一是继续开展放心粮油示范企业评审。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开展全国第三批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放心粮油示范企业到期重新认定和第六批放心粮油申报工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作。协会及时发文，经各市粮食行业协会审核和我会推荐，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共有安徽珍新米业有限公司等58家企业获得“全国放心粮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油示范加工企业”称号。开展安徽省第六批放心粮油示范加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工企业认定工作。2017年5月，协会启动安徽省第六批放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心粮油示范加工企业评审认定工作，本着自愿参加的原则，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各市协会通知符合条件企业参加评审。经各市协会推荐，省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协会初审、现场考察、公示和公告等程序，评选出安徽昊晨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食品有限公司等20家企业为安徽省放心粮油示范加工企业。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截至目前，我省共有200家企业获得全国放心粮油示范企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业称号，381家企业获得安徽省放心粮油示范企业称号。</w:t>
      </w:r>
    </w:p>
    <w:p>
      <w:pPr>
        <w:numPr>
          <w:ilvl w:val="0"/>
          <w:numId w:val="0"/>
        </w:numPr>
        <w:jc w:val="both"/>
        <w:spacing w:lineRule="exact" w:line="520" w:before="0" w:after="0"/>
        <w:ind w:right="0" w:firstLine="569"/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autoSpaceDE w:val="1"/>
        <w:autoSpaceDN w:val="1"/>
      </w:pPr>
      <w:r>
        <w:rPr>
          <w:b w:val="1"/>
          <w:color w:val="auto"/>
          <w:position w:val="0"/>
          <w:sz w:val="32"/>
          <w:szCs w:val="32"/>
          <w:rFonts w:ascii="楷体_GB2312" w:eastAsia="楷体_GB2312" w:hAnsi="楷体_GB2312" w:hint="default"/>
        </w:rPr>
        <w:t>二是认真做好放心粮油示范企业复评工作。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我会分别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于2011年、2012年认定的首批安徽省放心粮油示范加工企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业和第二批放心粮油示范加工企业（不包含示范销售店、示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范配送中心、示范主食厨房）有效期已满。 为加强对放心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粮油示范企业的监管，维护好“放心粮油”金字招牌，协会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经过初审、复审、考评，首批安徽省放心粮油示范加工企业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有101家企业通过复评，可以继续使用放心粮油示范企业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称号；第二批放心粮油示范加工企业复评工作于去年5月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份开展，经各市粮食行业协会组织申报，省协会审核、公示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 xml:space="preserve">等，合肥禾源粮油有限公司等 60家企业复评合格。</w:t>
      </w:r>
    </w:p>
    <w:p>
      <w:pPr>
        <w:numPr>
          <w:ilvl w:val="0"/>
          <w:numId w:val="0"/>
        </w:numPr>
        <w:jc w:val="both"/>
        <w:spacing w:lineRule="exact" w:line="520" w:before="0" w:after="0"/>
        <w:ind w:right="0" w:firstLine="569"/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autoSpaceDE w:val="1"/>
        <w:autoSpaceDN w:val="1"/>
      </w:pPr>
      <w:r>
        <w:rPr>
          <w:b w:val="1"/>
          <w:color w:val="auto"/>
          <w:position w:val="0"/>
          <w:sz w:val="32"/>
          <w:szCs w:val="32"/>
          <w:rFonts w:ascii="楷体_GB2312" w:eastAsia="楷体_GB2312" w:hAnsi="楷体_GB2312" w:hint="default"/>
        </w:rPr>
        <w:t>三是认真做好粮油示范县推荐工作。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2016年11月，中国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粮食行业协会启动“全国放心粮油供应网络建设示范县”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申报工作，经各地积极报名，我会推荐南陵县、肥东县、太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和县、来安县、凤阳县、巢湖市、天长市、霍邱县、濉溪县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9个县申报全国放心粮油示范县称号。2017年6月，经中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粮协批复同意，以上9个县作为全国放心粮油供应网络建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设示范县试点。本次试点全国有28个县（区），我省占三分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之一。</w:t>
      </w:r>
    </w:p>
    <w:p>
      <w:pPr>
        <w:numPr>
          <w:ilvl w:val="0"/>
          <w:numId w:val="0"/>
        </w:numPr>
        <w:jc w:val="both"/>
        <w:spacing w:lineRule="exact" w:line="520" w:before="0" w:after="0"/>
        <w:ind w:right="0" w:firstLine="569"/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autoSpaceDE w:val="1"/>
        <w:autoSpaceDN w:val="1"/>
      </w:pPr>
      <w:r>
        <w:rPr>
          <w:b w:val="1"/>
          <w:color w:val="auto"/>
          <w:position w:val="0"/>
          <w:sz w:val="32"/>
          <w:szCs w:val="32"/>
          <w:rFonts w:ascii="楷体_GB2312" w:eastAsia="楷体_GB2312" w:hAnsi="楷体_GB2312" w:hint="default"/>
        </w:rPr>
        <w:t>四是认真开展行业信用评价年审和复评工作。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中粮协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于2014年认定的第四批和2015年通过复评的第二、第三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批的我省14家A级以上信用等级企业，现已到期需年审。目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前，各企业已经提交年审材料。2013年经中粮协认定通过复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评的我省10家A级以上信用等级企业现已到期，需重新复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评。经企业自愿申报，我会初审，推荐安徽光明槐祥工贸集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团有限公司等6家企业参评，经中粮协评审，4家企业复评合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格，信用等级继续有效。</w:t>
      </w:r>
    </w:p>
    <w:p>
      <w:pPr>
        <w:numPr>
          <w:ilvl w:val="0"/>
          <w:numId w:val="0"/>
        </w:numPr>
        <w:jc w:val="both"/>
        <w:spacing w:lineRule="exact" w:line="520" w:before="0" w:after="0"/>
        <w:ind w:right="0" w:firstLine="569"/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autoSpaceDE w:val="1"/>
        <w:autoSpaceDN w:val="1"/>
      </w:pPr>
      <w:r>
        <w:rPr>
          <w:b w:val="1"/>
          <w:color w:val="auto"/>
          <w:position w:val="0"/>
          <w:sz w:val="32"/>
          <w:szCs w:val="32"/>
          <w:rFonts w:ascii="楷体_GB2312" w:eastAsia="楷体_GB2312" w:hAnsi="楷体_GB2312" w:hint="default"/>
        </w:rPr>
        <w:t>五是继续做好放心粮油科普宣传。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通过安徽粮食行业网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等信息平台，对放心粮油示范工程建设进行宣传，广泛宣传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放心粮油产品、粮食法律法规、粮油食品安全知识。积极参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加“食品安全宣传周”活动，发放《家庭科普知识》、《农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户科学储粮技术》等资料2000余份，接受群众咨询300余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人次。联合省粮食局印发安徽省“放心粮油”质量安全承诺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书，号召我省放心粮油示范企业加强行业自律，诚信发展经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营。</w:t>
      </w:r>
    </w:p>
    <w:p>
      <w:pPr>
        <w:numPr>
          <w:ilvl w:val="0"/>
          <w:numId w:val="0"/>
        </w:numPr>
        <w:jc w:val="both"/>
        <w:spacing w:lineRule="exact" w:line="520" w:before="0" w:after="0"/>
        <w:ind w:right="0" w:firstLine="566"/>
        <w:rPr>
          <w:color w:val="auto"/>
          <w:position w:val="0"/>
          <w:sz w:val="32"/>
          <w:szCs w:val="32"/>
          <w:rFonts w:ascii="方正黑体_GBK" w:eastAsia="方正黑体_GBK" w:hAnsi="方正黑体_GBK" w:hint="default"/>
        </w:rPr>
        <w:autoSpaceDE w:val="1"/>
        <w:autoSpaceDN w:val="1"/>
      </w:pPr>
      <w:r>
        <w:rPr>
          <w:color w:val="auto"/>
          <w:position w:val="0"/>
          <w:sz w:val="32"/>
          <w:szCs w:val="32"/>
          <w:rFonts w:ascii="方正黑体_GBK" w:eastAsia="方正黑体_GBK" w:hAnsi="方正黑体_GBK" w:hint="default"/>
        </w:rPr>
        <w:t>四、引导支持，品牌建设工作再结硕果</w:t>
      </w:r>
    </w:p>
    <w:p>
      <w:pPr>
        <w:numPr>
          <w:ilvl w:val="0"/>
          <w:numId w:val="0"/>
        </w:numPr>
        <w:jc w:val="both"/>
        <w:spacing w:lineRule="exact" w:line="520" w:before="0" w:after="0"/>
        <w:ind w:right="0" w:firstLine="566"/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autoSpaceDE w:val="1"/>
        <w:autoSpaceDN w:val="1"/>
      </w:pP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协会积极跟进省委省政府实施品牌带动战略，</w:t>
      </w:r>
      <w:r>
        <w:rPr>
          <w:color w:val="000000"/>
          <w:position w:val="0"/>
          <w:sz w:val="32"/>
          <w:szCs w:val="32"/>
          <w:rFonts w:ascii="仿宋_GB2312" w:eastAsia="仿宋_GB2312" w:hAnsi="仿宋_GB2312" w:hint="default"/>
        </w:rPr>
        <w:t>主动引导</w:t>
      </w:r>
      <w:r>
        <w:rPr>
          <w:color w:val="000000"/>
          <w:position w:val="0"/>
          <w:sz w:val="32"/>
          <w:szCs w:val="32"/>
          <w:rFonts w:ascii="仿宋_GB2312" w:eastAsia="仿宋_GB2312" w:hAnsi="仿宋_GB2312" w:hint="default"/>
        </w:rPr>
        <w:t>支持具备条件的粮油企业申报省著名商标、安徽名牌，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着力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培育和打造名牌产品。</w:t>
      </w:r>
    </w:p>
    <w:p>
      <w:pPr>
        <w:numPr>
          <w:ilvl w:val="0"/>
          <w:numId w:val="0"/>
        </w:numPr>
        <w:jc w:val="both"/>
        <w:spacing w:lineRule="exact" w:line="520" w:before="0" w:after="0"/>
        <w:ind w:right="-44" w:firstLine="643"/>
        <w:tabs>
          <w:tab w:val="left" w:pos="800"/>
        </w:tabs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autoSpaceDE w:val="1"/>
        <w:autoSpaceDN w:val="1"/>
      </w:pPr>
      <w:r>
        <w:rPr>
          <w:b w:val="1"/>
          <w:color w:val="auto"/>
          <w:position w:val="0"/>
          <w:sz w:val="32"/>
          <w:szCs w:val="32"/>
          <w:rFonts w:ascii="楷体_GB2312" w:eastAsia="楷体_GB2312" w:hAnsi="楷体_GB2312" w:hint="default"/>
        </w:rPr>
        <w:t>一是积极推荐粮油企业参加全国重点企业调查。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2017年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4月，我会开展2016年度安徽省重点粮油企业专项调查工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作，并根据调查结果，评审出2016年度安徽省大米加工企业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 xml:space="preserve">“20强”、小麦粉加工企业“10强”、食用油加工企业 “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10强”等。同时我会按照中国粮食行业协会重点粮油企业调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查要求，结合我省初步调查结果，上报符合条件的大米加工企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业49家，面粉加工企业28家，油脂加工企业11家，挂面加工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企业4家，杂粮加工企业4家、主食加工企业7家，粮食机械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类加工企业5家共计108家企业参加全国重点企业调查，经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中粮协评审，</w:t>
      </w:r>
      <w:r>
        <w:rPr>
          <w:color w:val="000000"/>
          <w:position w:val="0"/>
          <w:sz w:val="32"/>
          <w:szCs w:val="32"/>
          <w:rFonts w:ascii="仿宋_GB2312" w:eastAsia="仿宋_GB2312" w:hAnsi="仿宋_GB2312" w:hint="default"/>
        </w:rPr>
        <w:t>安徽光明槐祥工贸集团有限公司等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33家企业获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得2016年度全国粮油加工企业“50”强、“10强”企业称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号。</w:t>
      </w:r>
    </w:p>
    <w:p>
      <w:pPr>
        <w:numPr>
          <w:ilvl w:val="0"/>
          <w:numId w:val="0"/>
        </w:numPr>
        <w:jc w:val="both"/>
        <w:spacing w:lineRule="exact" w:line="520" w:before="0" w:after="0"/>
        <w:ind w:right="0" w:firstLine="569"/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autoSpaceDE w:val="1"/>
        <w:autoSpaceDN w:val="1"/>
      </w:pPr>
      <w:r>
        <w:rPr>
          <w:b w:val="1"/>
          <w:color w:val="auto"/>
          <w:position w:val="0"/>
          <w:sz w:val="32"/>
          <w:szCs w:val="32"/>
          <w:rFonts w:ascii="楷体_GB2312" w:eastAsia="楷体_GB2312" w:hAnsi="楷体_GB2312" w:hint="default"/>
        </w:rPr>
        <w:t>二是积极推荐粮油企业申报省名优名牌。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2017年，经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组织企业申报、各市审核推荐，我省112家粮油类加工企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业通过2017年度安徽名牌产品新申报和复评资质审核（新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认定63家，到期复评通过49家）。44个粮油类加工企业商标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被认定为安徽省著名商标。</w:t>
      </w:r>
    </w:p>
    <w:p>
      <w:pPr>
        <w:numPr>
          <w:ilvl w:val="0"/>
          <w:numId w:val="0"/>
        </w:numPr>
        <w:jc w:val="both"/>
        <w:spacing w:lineRule="exact" w:line="520" w:before="0" w:after="0"/>
        <w:ind w:right="0" w:firstLine="566"/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autoSpaceDE w:val="1"/>
        <w:autoSpaceDN w:val="1"/>
      </w:pPr>
      <w:r>
        <w:rPr>
          <w:color w:val="000000"/>
          <w:position w:val="0"/>
          <w:sz w:val="32"/>
          <w:szCs w:val="32"/>
          <w:rFonts w:ascii="仿宋_GB2312" w:eastAsia="仿宋_GB2312" w:hAnsi="仿宋_GB2312" w:hint="default"/>
        </w:rPr>
        <w:t>还有一批企业获得各种认证，有力提高企业的知名度和</w:t>
      </w:r>
      <w:r>
        <w:rPr>
          <w:color w:val="000000"/>
          <w:position w:val="0"/>
          <w:sz w:val="32"/>
          <w:szCs w:val="32"/>
          <w:rFonts w:ascii="仿宋_GB2312" w:eastAsia="仿宋_GB2312" w:hAnsi="仿宋_GB2312" w:hint="default"/>
        </w:rPr>
        <w:t>产品的市场竞争力。同福碗粥股份有限公司的碗粥关键生产</w:t>
      </w:r>
      <w:r>
        <w:rPr>
          <w:color w:val="000000"/>
          <w:position w:val="0"/>
          <w:sz w:val="32"/>
          <w:szCs w:val="32"/>
          <w:rFonts w:ascii="仿宋_GB2312" w:eastAsia="仿宋_GB2312" w:hAnsi="仿宋_GB2312" w:hint="default"/>
        </w:rPr>
        <w:t>技术集成与应用、合肥泰禾光电科技股份有限公司的基于</w:t>
      </w:r>
      <w:r>
        <w:rPr>
          <w:color w:val="000000"/>
          <w:position w:val="0"/>
          <w:sz w:val="32"/>
          <w:szCs w:val="32"/>
          <w:rFonts w:ascii="仿宋_GB2312" w:eastAsia="仿宋_GB2312" w:hAnsi="仿宋_GB2312" w:hint="default"/>
        </w:rPr>
        <w:t>SOC系统和颜色形状结合算法的高性能物料分选设备和安徽</w:t>
      </w:r>
      <w:r>
        <w:rPr>
          <w:color w:val="000000"/>
          <w:position w:val="0"/>
          <w:sz w:val="32"/>
          <w:szCs w:val="32"/>
          <w:rFonts w:ascii="仿宋_GB2312" w:eastAsia="仿宋_GB2312" w:hAnsi="仿宋_GB2312" w:hint="default"/>
        </w:rPr>
        <w:t>省天麒面业科技股份有限公司的臭氧加速新麦后熟关键技</w:t>
      </w:r>
      <w:r>
        <w:rPr>
          <w:color w:val="000000"/>
          <w:position w:val="0"/>
          <w:sz w:val="32"/>
          <w:szCs w:val="32"/>
          <w:rFonts w:ascii="仿宋_GB2312" w:eastAsia="仿宋_GB2312" w:hAnsi="仿宋_GB2312" w:hint="default"/>
        </w:rPr>
        <w:t>术研究分别荣获2016年度中国粮油学会科学技术奖二等奖</w:t>
      </w:r>
      <w:r>
        <w:rPr>
          <w:color w:val="000000"/>
          <w:position w:val="0"/>
          <w:sz w:val="32"/>
          <w:szCs w:val="32"/>
          <w:rFonts w:ascii="仿宋_GB2312" w:eastAsia="仿宋_GB2312" w:hAnsi="仿宋_GB2312" w:hint="default"/>
        </w:rPr>
        <w:t>和三等奖。合肥美亚光电技术股份有限公司入选首批安徽省</w:t>
      </w:r>
      <w:r>
        <w:rPr>
          <w:color w:val="000000"/>
          <w:position w:val="0"/>
          <w:sz w:val="32"/>
          <w:szCs w:val="32"/>
          <w:rFonts w:ascii="仿宋_GB2312" w:eastAsia="仿宋_GB2312" w:hAnsi="仿宋_GB2312" w:hint="default"/>
        </w:rPr>
        <w:t>技术创新中心。</w:t>
      </w:r>
    </w:p>
    <w:p>
      <w:pPr>
        <w:numPr>
          <w:ilvl w:val="0"/>
          <w:numId w:val="0"/>
        </w:numPr>
        <w:jc w:val="both"/>
        <w:spacing w:lineRule="exact" w:line="520" w:before="0" w:after="0"/>
        <w:ind w:right="0" w:firstLine="420"/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autoSpaceDE w:val="1"/>
        <w:autoSpaceDN w:val="1"/>
      </w:pPr>
      <w:r>
        <w:rPr>
          <w:b w:val="1"/>
          <w:color w:val="auto"/>
          <w:position w:val="0"/>
          <w:sz w:val="32"/>
          <w:szCs w:val="32"/>
          <w:rFonts w:ascii="楷体_GB2312" w:eastAsia="楷体_GB2312" w:hAnsi="楷体_GB2312" w:hint="default"/>
        </w:rPr>
        <w:t>三是积极推荐农业产业化省级龙头企业。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2017年，省农业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产业化工作指导委员会认定、公布了915家农业产业化省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级龙头企业、133家省级农业产业化龙头企业“甲级队”、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235家省示范现代农业产业化联合体，其中，粮油类企业分别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为275家、39家和87家，分别占30%、29%和37%。</w:t>
      </w:r>
    </w:p>
    <w:p>
      <w:pPr>
        <w:numPr>
          <w:ilvl w:val="0"/>
          <w:numId w:val="0"/>
        </w:numPr>
        <w:jc w:val="both"/>
        <w:spacing w:lineRule="exact" w:line="520" w:before="0" w:after="0"/>
        <w:ind w:right="0" w:firstLine="566"/>
        <w:rPr>
          <w:color w:val="auto"/>
          <w:position w:val="0"/>
          <w:sz w:val="32"/>
          <w:szCs w:val="32"/>
          <w:rFonts w:ascii="方正黑体_GBK" w:eastAsia="方正黑体_GBK" w:hAnsi="方正黑体_GBK" w:hint="default"/>
        </w:rPr>
        <w:autoSpaceDE w:val="1"/>
        <w:autoSpaceDN w:val="1"/>
      </w:pPr>
      <w:r>
        <w:rPr>
          <w:color w:val="auto"/>
          <w:position w:val="0"/>
          <w:sz w:val="32"/>
          <w:szCs w:val="32"/>
          <w:rFonts w:ascii="方正黑体_GBK" w:eastAsia="方正黑体_GBK" w:hAnsi="方正黑体_GBK" w:hint="default"/>
        </w:rPr>
        <w:t>五、拓展领域，服务功能进一步深化</w:t>
      </w:r>
    </w:p>
    <w:p>
      <w:pPr>
        <w:numPr>
          <w:ilvl w:val="0"/>
          <w:numId w:val="0"/>
        </w:numPr>
        <w:jc w:val="both"/>
        <w:spacing w:lineRule="exact" w:line="520" w:before="0" w:after="0"/>
        <w:ind w:right="0" w:firstLine="566"/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autoSpaceDE w:val="1"/>
        <w:autoSpaceDN w:val="1"/>
      </w:pP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为扩大协会服务范围、提升服务会员水平、增强会员之间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的沟通交流，加强会员企业与专业院校、研究院所零距离对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接，协会多方面拓展服务领域，深化服务功能，以促进协会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和会员企业共同发展。</w:t>
      </w:r>
    </w:p>
    <w:p>
      <w:pPr>
        <w:numPr>
          <w:ilvl w:val="0"/>
          <w:numId w:val="0"/>
        </w:numPr>
        <w:jc w:val="both"/>
        <w:spacing w:lineRule="exact" w:line="520" w:before="0" w:after="0"/>
        <w:ind w:right="0" w:firstLine="569"/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autoSpaceDE w:val="1"/>
        <w:autoSpaceDN w:val="1"/>
      </w:pPr>
      <w:r>
        <w:rPr>
          <w:b w:val="1"/>
          <w:color w:val="auto"/>
          <w:position w:val="0"/>
          <w:sz w:val="32"/>
          <w:szCs w:val="32"/>
          <w:rFonts w:ascii="楷体_GB2312" w:eastAsia="楷体_GB2312" w:hAnsi="楷体_GB2312" w:hint="default"/>
        </w:rPr>
        <w:t>一是首次牵头组织召开科技成果鉴定会。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3月25日，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省粮食行业协会组织鉴定专家委员会对合肥万都云雅制冷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科技股份有限公司研制的VHPD15型粮食烘干用空气能热泵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热风机产品进行了科技成果鉴定。经过专家委员会认真评议、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讨论和鉴定，一致认为，该产品国内首创了同时采用补气增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焓、单层尼龙滤网和布袋式双重过滤技术，以及循环制冷剂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除霜技术，实现了在环境温度10°C工作下，热风机制热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系统达到3.9，运行费用降低。该产品的供热温度、供热风量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能够满足粮食烘干生产要求，便于实现粮食烘干全过程的自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动调节控制，有助于提高烘干温度的控制精度，提高粮食烘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干质量。该产品以空气能和电能为能源，工作时无废水、废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气、废渣排放，达到了零排放的生产要求，是未来推荐环保、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实施煤改电、替代燃煤燃料风炉的理想产品。</w:t>
      </w:r>
    </w:p>
    <w:p>
      <w:pPr>
        <w:numPr>
          <w:ilvl w:val="0"/>
          <w:numId w:val="0"/>
        </w:numPr>
        <w:jc w:val="both"/>
        <w:spacing w:lineRule="exact" w:line="520" w:before="0" w:after="0"/>
        <w:ind w:right="0" w:firstLine="569"/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autoSpaceDE w:val="1"/>
        <w:autoSpaceDN w:val="1"/>
      </w:pPr>
      <w:r>
        <w:rPr>
          <w:b w:val="1"/>
          <w:color w:val="auto"/>
          <w:position w:val="0"/>
          <w:sz w:val="32"/>
          <w:szCs w:val="32"/>
          <w:rFonts w:ascii="楷体_GB2312" w:eastAsia="楷体_GB2312" w:hAnsi="楷体_GB2312" w:hint="default"/>
        </w:rPr>
        <w:t>二是开通微信服务平台。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2017年，协会开通了安徽省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粮食行业协会公众号平台。微信群和公众号的创建，发布信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息更及时快捷，会员沟通更畅通无阻。</w:t>
      </w:r>
    </w:p>
    <w:p>
      <w:pPr>
        <w:numPr>
          <w:ilvl w:val="0"/>
          <w:numId w:val="0"/>
        </w:numPr>
        <w:jc w:val="both"/>
        <w:spacing w:lineRule="exact" w:line="520" w:before="0" w:after="0"/>
        <w:ind w:right="0" w:firstLine="569"/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autoSpaceDE w:val="1"/>
        <w:autoSpaceDN w:val="1"/>
      </w:pPr>
      <w:r>
        <w:rPr>
          <w:b w:val="1"/>
          <w:color w:val="auto"/>
          <w:position w:val="0"/>
          <w:sz w:val="32"/>
          <w:szCs w:val="32"/>
          <w:rFonts w:ascii="楷体_GB2312" w:eastAsia="楷体_GB2312" w:hAnsi="楷体_GB2312" w:hint="default"/>
        </w:rPr>
        <w:t>三是安徽粮食行业网改版升级。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安徽粮食行业网升级改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版后，以崭新的面貌和更加专业的形象正式上线，在注重提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高信息量的同时，增强了会员互动的功能，增加了中国粮食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网等多个行业内专业网站链接，全方位为会员提供信息。截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 xml:space="preserve">至目前，安徽粮食行业网累计点击量已达8318115 人次。</w:t>
      </w:r>
    </w:p>
    <w:p>
      <w:pPr>
        <w:numPr>
          <w:ilvl w:val="0"/>
          <w:numId w:val="0"/>
        </w:numPr>
        <w:jc w:val="both"/>
        <w:spacing w:lineRule="exact" w:line="520" w:before="0" w:after="0"/>
        <w:ind w:right="0" w:firstLine="566"/>
        <w:rPr>
          <w:color w:val="auto"/>
          <w:position w:val="0"/>
          <w:sz w:val="32"/>
          <w:szCs w:val="32"/>
          <w:rFonts w:ascii="方正黑体_GBK" w:eastAsia="方正黑体_GBK" w:hAnsi="方正黑体_GBK" w:hint="default"/>
        </w:rPr>
        <w:autoSpaceDE w:val="1"/>
        <w:autoSpaceDN w:val="1"/>
      </w:pPr>
      <w:r>
        <w:rPr>
          <w:color w:val="auto"/>
          <w:position w:val="0"/>
          <w:sz w:val="32"/>
          <w:szCs w:val="32"/>
          <w:rFonts w:ascii="方正黑体_GBK" w:eastAsia="方正黑体_GBK" w:hAnsi="方正黑体_GBK" w:hint="default"/>
        </w:rPr>
        <w:t>六、搭建平台，桥梁纽带作用再次彰显</w:t>
      </w:r>
    </w:p>
    <w:p>
      <w:pPr>
        <w:numPr>
          <w:ilvl w:val="0"/>
          <w:numId w:val="0"/>
        </w:numPr>
        <w:jc w:val="both"/>
        <w:spacing w:lineRule="exact" w:line="520" w:before="0" w:after="0"/>
        <w:ind w:right="0" w:firstLine="643"/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autoSpaceDE w:val="1"/>
        <w:autoSpaceDN w:val="1"/>
      </w:pPr>
      <w:r>
        <w:rPr>
          <w:b w:val="1"/>
          <w:color w:val="auto"/>
          <w:position w:val="0"/>
          <w:sz w:val="32"/>
          <w:szCs w:val="32"/>
          <w:rFonts w:ascii="楷体_GB2312" w:eastAsia="楷体_GB2312" w:hAnsi="楷体_GB2312" w:hint="default"/>
        </w:rPr>
        <w:t>一是组织参加第十五届中国国际粮油产品及设备技术</w:t>
      </w:r>
      <w:r>
        <w:rPr>
          <w:b w:val="1"/>
          <w:color w:val="auto"/>
          <w:position w:val="0"/>
          <w:sz w:val="32"/>
          <w:szCs w:val="32"/>
          <w:rFonts w:ascii="楷体_GB2312" w:eastAsia="楷体_GB2312" w:hAnsi="楷体_GB2312" w:hint="default"/>
        </w:rPr>
        <w:t>展览会。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组织全省22家国家级省级产业化龙头企业参展，设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立16粮油产品标准展位和1个特装展位；组织27家粮油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机械设备企业参展，共6大类200多个品种。此次展会，安徽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省白湖农场集团有限责任公司等12家粮油加工企业，合肥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泰禾光电科技有限公司等6家粮油机械企业设备类企业获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得金奖产品称号。安徽粮食展团获得了优秀联络员奖。</w:t>
      </w:r>
    </w:p>
    <w:p>
      <w:pPr>
        <w:numPr>
          <w:ilvl w:val="0"/>
          <w:numId w:val="0"/>
        </w:numPr>
        <w:jc w:val="both"/>
        <w:spacing w:lineRule="exact" w:line="520" w:before="0" w:after="0"/>
        <w:ind w:right="0" w:firstLine="643"/>
        <w:rPr>
          <w:b w:val="1"/>
          <w:color w:val="auto"/>
          <w:position w:val="0"/>
          <w:sz w:val="32"/>
          <w:szCs w:val="32"/>
          <w:rFonts w:ascii="楷体_GB2312" w:eastAsia="楷体_GB2312" w:hAnsi="楷体_GB2312" w:hint="default"/>
        </w:rPr>
        <w:autoSpaceDE w:val="1"/>
        <w:autoSpaceDN w:val="1"/>
      </w:pPr>
      <w:r>
        <w:rPr>
          <w:b w:val="1"/>
          <w:color w:val="auto"/>
          <w:position w:val="0"/>
          <w:sz w:val="32"/>
          <w:szCs w:val="32"/>
          <w:rFonts w:ascii="楷体_GB2312" w:eastAsia="楷体_GB2312" w:hAnsi="楷体_GB2312" w:hint="default"/>
        </w:rPr>
        <w:t>二是组织粮机企业参加2017中国（合肥）农业产业化交</w:t>
      </w:r>
      <w:r>
        <w:rPr>
          <w:b w:val="1"/>
          <w:color w:val="auto"/>
          <w:position w:val="0"/>
          <w:sz w:val="32"/>
          <w:szCs w:val="32"/>
          <w:rFonts w:ascii="楷体_GB2312" w:eastAsia="楷体_GB2312" w:hAnsi="楷体_GB2312" w:hint="default"/>
        </w:rPr>
        <w:t>易会暨农产品加工机械技术成果展。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为配合由农业部、安徽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省人民政府联合主办的“2017中国安徽（合肥）农业产业化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交易会”，展示我省粮食加工机械最新成果，组织合肥美亚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光电技术股份有限公司等5家省内大型粮食加工机械企业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参加“农产品加工机械技术成果展”。此次展会，更好的提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升我省粮油机械企业的影响力，充分发挥我会的平台效应，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为我省由粮食大省向粮食强省转变助力。</w:t>
      </w:r>
    </w:p>
    <w:p>
      <w:pPr>
        <w:numPr>
          <w:ilvl w:val="0"/>
          <w:numId w:val="0"/>
        </w:numPr>
        <w:jc w:val="both"/>
        <w:spacing w:lineRule="exact" w:line="520" w:before="0" w:after="0"/>
        <w:ind w:right="0" w:firstLine="643"/>
        <w:rPr>
          <w:b w:val="1"/>
          <w:color w:val="auto"/>
          <w:position w:val="0"/>
          <w:sz w:val="32"/>
          <w:szCs w:val="32"/>
          <w:rFonts w:ascii="楷体_GB2312" w:eastAsia="楷体_GB2312" w:hAnsi="楷体_GB2312" w:hint="default"/>
        </w:rPr>
        <w:autoSpaceDE w:val="1"/>
        <w:autoSpaceDN w:val="1"/>
      </w:pPr>
      <w:r>
        <w:rPr>
          <w:b w:val="1"/>
          <w:color w:val="auto"/>
          <w:position w:val="0"/>
          <w:sz w:val="32"/>
          <w:szCs w:val="32"/>
          <w:rFonts w:ascii="楷体_GB2312" w:eastAsia="楷体_GB2312" w:hAnsi="楷体_GB2312" w:hint="default"/>
        </w:rPr>
        <w:t>三是组织企业参加2017·黑龙江第十四届金秋粮食交</w:t>
      </w:r>
      <w:r>
        <w:rPr>
          <w:b w:val="1"/>
          <w:color w:val="auto"/>
          <w:position w:val="0"/>
          <w:sz w:val="32"/>
          <w:szCs w:val="32"/>
          <w:rFonts w:ascii="楷体_GB2312" w:eastAsia="楷体_GB2312" w:hAnsi="楷体_GB2312" w:hint="default"/>
        </w:rPr>
        <w:t>易暨产业合作洽谈会。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为进一步发展粮食产销区长期稳定的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合作关系，扩大粮食购销及经济技术合作，实现产销区优势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互补，协会组织芜湖市商务局（粮食局）、安徽香稷生态农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业有限公司、南陵县裕安米业有限公司3家单位参加此次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展会。安徽香稷生态农业有限公司就五常大米项目与当地企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业达成合作意向。</w:t>
      </w:r>
    </w:p>
    <w:p>
      <w:pPr>
        <w:numPr>
          <w:ilvl w:val="0"/>
          <w:numId w:val="0"/>
        </w:numPr>
        <w:jc w:val="both"/>
        <w:spacing w:lineRule="exact" w:line="520" w:before="0" w:after="0"/>
        <w:ind w:right="0" w:firstLine="643"/>
        <w:rPr>
          <w:b w:val="1"/>
          <w:color w:val="auto"/>
          <w:position w:val="0"/>
          <w:sz w:val="32"/>
          <w:szCs w:val="32"/>
          <w:rFonts w:ascii="楷体_GB2312" w:eastAsia="楷体_GB2312" w:hAnsi="楷体_GB2312" w:hint="default"/>
        </w:rPr>
        <w:autoSpaceDE w:val="1"/>
        <w:autoSpaceDN w:val="1"/>
      </w:pPr>
      <w:r>
        <w:rPr>
          <w:b w:val="1"/>
          <w:color w:val="auto"/>
          <w:position w:val="0"/>
          <w:sz w:val="32"/>
          <w:szCs w:val="32"/>
          <w:rFonts w:ascii="楷体_GB2312" w:eastAsia="楷体_GB2312" w:hAnsi="楷体_GB2312" w:hint="default"/>
        </w:rPr>
        <w:t>四是积极开展对外友好交流。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组织淮北徽香昱原早餐工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程有限责任公司等第六批放心粮油示范加工企业和2016年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度粮油行业“50强”及“10强”参加全国重点粮油企业年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会暨放心粮油供应网络建设经验交流会，认真学习贯彻党的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十九大精神，深入推进供给侧结构性改革，总结交流开展放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心粮油工程经验，提升品牌质量，推动品牌建设。</w:t>
      </w:r>
      <w:r>
        <w:rPr>
          <w:color w:val="333333"/>
          <w:position w:val="0"/>
          <w:sz w:val="32"/>
          <w:szCs w:val="32"/>
          <w:rFonts w:ascii="仿宋_GB2312" w:eastAsia="仿宋_GB2312" w:hAnsi="仿宋_GB2312" w:hint="default"/>
        </w:rPr>
        <w:t>为贯彻落</w:t>
      </w:r>
      <w:r>
        <w:rPr>
          <w:color w:val="333333"/>
          <w:position w:val="0"/>
          <w:sz w:val="32"/>
          <w:szCs w:val="32"/>
          <w:rFonts w:ascii="仿宋_GB2312" w:eastAsia="仿宋_GB2312" w:hAnsi="仿宋_GB2312" w:hint="default"/>
        </w:rPr>
        <w:t>实习近平总书记提出的“一带一路”发展战略，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经中国粮食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行业协会大米分会牵头，协会组织大米加工企业赴越南参加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由越南工贸部主办的“2017年越南国际食品行业博览会”，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安徽光明槐祥工贸集团有限公司等多家企业与越方公司就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越产白米等项目达成协议。组织凤宝粮油、康平油脂、青松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食品等一行10人赴台湾就</w:t>
      </w:r>
      <w:r>
        <w:rPr>
          <w:color w:val="auto"/>
          <w:position w:val="0"/>
          <w:sz w:val="32"/>
          <w:szCs w:val="32"/>
          <w:rFonts w:ascii="Times New Roman" w:eastAsia="Times New Roman" w:hAnsi="Times New Roman" w:hint="default"/>
        </w:rPr>
        <w:t>粮</w:t>
      </w:r>
      <w:r>
        <w:rPr>
          <w:color w:val="auto"/>
          <w:position w:val="0"/>
          <w:sz w:val="32"/>
          <w:szCs w:val="32"/>
          <w:rFonts w:ascii="Times New Roman" w:eastAsia="仿宋" w:hAnsi="仿宋" w:hint="default"/>
        </w:rPr>
        <w:t>食生产、流通、加工、品牌培育</w:t>
      </w:r>
      <w:r>
        <w:rPr>
          <w:color w:val="auto"/>
          <w:position w:val="0"/>
          <w:sz w:val="32"/>
          <w:szCs w:val="32"/>
          <w:rFonts w:ascii="Times New Roman" w:eastAsia="仿宋" w:hAnsi="仿宋" w:hint="default"/>
        </w:rPr>
        <w:t>和市场营销等方面进行</w:t>
      </w:r>
      <w:r>
        <w:rPr>
          <w:color w:val="auto"/>
          <w:position w:val="0"/>
          <w:sz w:val="32"/>
          <w:szCs w:val="32"/>
          <w:rFonts w:ascii="Times New Roman" w:eastAsia="Times New Roman" w:hAnsi="Times New Roman" w:hint="default"/>
        </w:rPr>
        <w:t>参观考察。考察团</w:t>
      </w:r>
      <w:r>
        <w:rPr>
          <w:color w:val="auto"/>
          <w:position w:val="0"/>
          <w:sz w:val="32"/>
          <w:szCs w:val="32"/>
          <w:rFonts w:ascii="Times New Roman" w:eastAsia="仿宋" w:hAnsi="仿宋" w:hint="default"/>
        </w:rPr>
        <w:t>深入田间地头，走</w:t>
      </w:r>
      <w:r>
        <w:rPr>
          <w:color w:val="auto"/>
          <w:position w:val="0"/>
          <w:sz w:val="32"/>
          <w:szCs w:val="32"/>
          <w:rFonts w:ascii="Times New Roman" w:eastAsia="仿宋" w:hAnsi="仿宋" w:hint="default"/>
        </w:rPr>
        <w:t>进工厂车间，参观营销网点，现场体验DIY，与台湾有关部门</w:t>
      </w:r>
      <w:r>
        <w:rPr>
          <w:color w:val="auto"/>
          <w:position w:val="0"/>
          <w:sz w:val="32"/>
          <w:szCs w:val="32"/>
          <w:rFonts w:ascii="Times New Roman" w:eastAsia="仿宋" w:hAnsi="仿宋" w:hint="default"/>
        </w:rPr>
        <w:t>交流座谈，全面</w:t>
      </w:r>
      <w:r>
        <w:rPr>
          <w:color w:val="auto"/>
          <w:position w:val="0"/>
          <w:sz w:val="32"/>
          <w:szCs w:val="32"/>
          <w:rFonts w:ascii="Times New Roman" w:eastAsia="Times New Roman" w:hAnsi="Times New Roman" w:hint="default"/>
        </w:rPr>
        <w:t>了解台湾粮</w:t>
      </w:r>
      <w:r>
        <w:rPr>
          <w:color w:val="auto"/>
          <w:position w:val="0"/>
          <w:sz w:val="32"/>
          <w:szCs w:val="32"/>
          <w:rFonts w:ascii="Times New Roman" w:eastAsia="仿宋" w:hAnsi="仿宋" w:hint="default"/>
        </w:rPr>
        <w:t>食</w:t>
      </w:r>
      <w:r>
        <w:rPr>
          <w:color w:val="auto"/>
          <w:position w:val="0"/>
          <w:sz w:val="32"/>
          <w:szCs w:val="32"/>
          <w:rFonts w:ascii="Times New Roman" w:eastAsia="Times New Roman" w:hAnsi="Times New Roman" w:hint="default"/>
        </w:rPr>
        <w:t>产业发展</w:t>
      </w:r>
      <w:r>
        <w:rPr>
          <w:color w:val="auto"/>
          <w:position w:val="0"/>
          <w:sz w:val="32"/>
          <w:szCs w:val="32"/>
          <w:rFonts w:ascii="Times New Roman" w:eastAsia="仿宋" w:hAnsi="仿宋" w:hint="default"/>
        </w:rPr>
        <w:t>情况。考察团先后考</w:t>
      </w:r>
      <w:r>
        <w:rPr>
          <w:color w:val="auto"/>
          <w:position w:val="0"/>
          <w:sz w:val="32"/>
          <w:szCs w:val="32"/>
          <w:rFonts w:ascii="Times New Roman" w:eastAsia="仿宋" w:hAnsi="仿宋" w:hint="default"/>
        </w:rPr>
        <w:t>察了新竹金勇休闲农场、台一生态休闲农场、台东池上米原</w:t>
      </w:r>
      <w:r>
        <w:rPr>
          <w:color w:val="auto"/>
          <w:position w:val="0"/>
          <w:sz w:val="32"/>
          <w:szCs w:val="32"/>
          <w:rFonts w:ascii="Times New Roman" w:eastAsia="仿宋" w:hAnsi="仿宋" w:hint="default"/>
        </w:rPr>
        <w:t>乡馆、台湾谷堡，与南投县农会和“</w:t>
      </w:r>
      <w:r>
        <w:rPr>
          <w:color w:val="auto"/>
          <w:position w:val="0"/>
          <w:sz w:val="32"/>
          <w:szCs w:val="32"/>
          <w:rFonts w:ascii="Times New Roman" w:eastAsia="Times New Roman" w:hAnsi="Times New Roman" w:hint="default"/>
        </w:rPr>
        <w:t>中华优质农业推</w:t>
      </w:r>
      <w:r>
        <w:rPr>
          <w:color w:val="auto"/>
          <w:position w:val="0"/>
          <w:sz w:val="32"/>
          <w:szCs w:val="32"/>
          <w:rFonts w:ascii="Times New Roman" w:eastAsia="仿宋" w:hAnsi="仿宋" w:hint="default"/>
        </w:rPr>
        <w:t>进</w:t>
      </w:r>
      <w:r>
        <w:rPr>
          <w:color w:val="auto"/>
          <w:position w:val="0"/>
          <w:sz w:val="32"/>
          <w:szCs w:val="32"/>
          <w:rFonts w:ascii="Times New Roman" w:eastAsia="Times New Roman" w:hAnsi="Times New Roman" w:hint="default"/>
        </w:rPr>
        <w:t>会</w:t>
      </w:r>
      <w:r>
        <w:rPr>
          <w:color w:val="auto"/>
          <w:position w:val="0"/>
          <w:sz w:val="32"/>
          <w:szCs w:val="32"/>
          <w:rFonts w:ascii="Times New Roman" w:eastAsia="仿宋" w:hAnsi="仿宋" w:hint="default"/>
        </w:rPr>
        <w:t>”就粮</w:t>
      </w:r>
      <w:r>
        <w:rPr>
          <w:color w:val="auto"/>
          <w:position w:val="0"/>
          <w:sz w:val="32"/>
          <w:szCs w:val="32"/>
          <w:rFonts w:ascii="Times New Roman" w:eastAsia="仿宋" w:hAnsi="仿宋" w:hint="default"/>
        </w:rPr>
        <w:t>食产业发展、两岸交流合作进行了深入交流，</w:t>
      </w:r>
      <w:r>
        <w:rPr>
          <w:color w:val="auto"/>
          <w:position w:val="0"/>
          <w:sz w:val="32"/>
          <w:szCs w:val="32"/>
          <w:rFonts w:ascii="Times New Roman" w:eastAsia="Times New Roman" w:hAnsi="Times New Roman" w:hint="default"/>
        </w:rPr>
        <w:t>圆满完成考察任务。</w:t>
      </w:r>
    </w:p>
    <w:sectPr>
      <w:titlePg/>
      <w:footerReference w:type="default" r:id="rId5"/>
      <w:footerReference w:type="first" r:id="rId6"/>
      <w:pgSz w:w="11906" w:h="16838"/>
      <w:pgMar w:top="1440" w:left="1800" w:bottom="1440" w:right="1800" w:header="851" w:footer="992" w:gutter="0"/>
      <w:pgNumType w:fmt="decimal"/>
      <w:docGrid w:type="lines" w:linePitch="312" w:charSpac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宋体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Calibri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Wingdings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Times New Roman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Arial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黑体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楷体_GB2312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方正小标宋_GBK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仿宋_GB2312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方正黑体_GBK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仿宋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맑은 고딕">
    <w:panose1 w:val="020F0502020204030204"/>
    <w:charset w:val="0"/>
    <w:family w:val="mordern"/>
    <w:pitch w:val="variable"/>
    <w:sig w:usb0="A00002EF" w:usb1="4000207B" w:usb2="00000000" w:usb3="00000000" w:csb0="FFFFFFFF" w:csb1="00000000"/>
  </w:font>
</w:fonts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 xmlns:w14="http://schemas.microsoft.com/office/word/2010/wordml" xmlns:wpi="http://schemas.microsoft.com/office/word/2010/wordprocessingInk">
  <w:p>
    <w:pPr>
      <w:pStyle w:val="PO154"/>
      <w:numPr>
        <w:ilvl w:val="0"/>
        <w:numId w:val="0"/>
      </w:numPr>
      <w:jc w:val="center"/>
      <w:spacing w:lineRule="auto" w:line="240" w:before="0" w:after="0"/>
      <w:ind w:right="0" w:firstLine="0"/>
      <w:tabs>
        <w:tab w:val="center" w:pos="4153"/>
        <w:tab w:val="right" w:pos="8306"/>
      </w:tabs>
      <w:rPr>
        <w:color w:val="auto"/>
        <w:position w:val="0"/>
        <w:sz w:val="18"/>
        <w:szCs w:val="18"/>
        <w:rFonts w:ascii="Calibri" w:eastAsia="宋体" w:hAnsi="宋体" w:hint="default"/>
      </w:rPr>
      <w:snapToGrid w:val="off"/>
      <w:autoSpaceDE w:val="1"/>
      <w:autoSpaceDN w:val="1"/>
    </w:pPr>
    <w:r>
      <w:rPr>
        <w:color w:val="auto"/>
        <w:position w:val="0"/>
        <w:sz w:val="18"/>
        <w:szCs w:val="18"/>
        <w:rFonts w:ascii="Calibri" w:eastAsia="宋体" w:hAnsi="宋体" w:hint="default"/>
      </w:rPr>
      <w:fldChar w:fldCharType="begin"/>
    </w:r>
    <w:r>
      <w:instrText>PAGE  \* MERGEFORMAT</w:instrText>
    </w:r>
    <w:r>
      <w:fldChar w:fldCharType="separate"/>
    </w:r>
    <w:r>
      <w:rPr>
        <w:color w:val="auto"/>
        <w:position w:val="0"/>
        <w:sz w:val="18"/>
        <w:szCs w:val="18"/>
        <w:rFonts w:ascii="Calibri" w:eastAsia="宋体" w:hAnsi="宋体" w:hint="default"/>
      </w:rPr>
      <w:t>9</w:t>
    </w:r>
    <w:r>
      <w:rPr>
        <w:color w:val="auto"/>
        <w:position w:val="0"/>
        <w:sz w:val="18"/>
        <w:szCs w:val="18"/>
        <w:rFonts w:ascii="Calibri" w:eastAsia="宋体" w:hAnsi="宋体" w:hint="default"/>
      </w:rPr>
      <w:fldChar w:fldCharType="end"/>
    </w:r>
  </w:p>
  <w:p>
    <w:pPr>
      <w:pStyle w:val="PO154"/>
      <w:numPr>
        <w:ilvl w:val="0"/>
        <w:numId w:val="0"/>
      </w:numPr>
      <w:jc w:val="left"/>
      <w:spacing w:lineRule="auto" w:line="240" w:before="0" w:after="0"/>
      <w:ind w:right="0" w:firstLine="0"/>
      <w:tabs>
        <w:tab w:val="center" w:pos="4153"/>
        <w:tab w:val="right" w:pos="8306"/>
      </w:tabs>
      <w:rPr>
        <w:color w:val="auto"/>
        <w:position w:val="0"/>
        <w:sz w:val="18"/>
        <w:szCs w:val="18"/>
        <w:rFonts w:ascii="Calibri" w:eastAsia="宋体" w:hAnsi="宋体" w:hint="default"/>
      </w:rPr>
      <w:snapToGrid w:val="off"/>
      <w:autoSpaceDE w:val="1"/>
      <w:autoSpaceDN w:val="1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 xmlns:w14="http://schemas.microsoft.com/office/word/2010/wordml" xmlns:wpi="http://schemas.microsoft.com/office/word/2010/wordprocessingInk">
  <w:p>
    <w:pPr>
      <w:pStyle w:val="PO154"/>
      <w:numPr>
        <w:ilvl w:val="0"/>
        <w:numId w:val="0"/>
      </w:numPr>
      <w:jc w:val="center"/>
      <w:spacing w:lineRule="auto" w:line="240" w:before="0" w:after="0"/>
      <w:ind w:right="0" w:firstLine="0"/>
      <w:tabs>
        <w:tab w:val="center" w:pos="4153"/>
        <w:tab w:val="right" w:pos="8306"/>
      </w:tabs>
      <w:rPr>
        <w:color w:val="auto"/>
        <w:position w:val="0"/>
        <w:sz w:val="18"/>
        <w:szCs w:val="18"/>
        <w:rFonts w:ascii="Calibri" w:eastAsia="宋体" w:hAnsi="宋体" w:hint="default"/>
      </w:rPr>
      <w:snapToGrid w:val="off"/>
      <w:autoSpaceDE w:val="1"/>
      <w:autoSpaceDN w:val="1"/>
    </w:pPr>
    <w:r>
      <w:rPr>
        <w:color w:val="auto"/>
        <w:position w:val="0"/>
        <w:sz w:val="18"/>
        <w:szCs w:val="18"/>
        <w:rFonts w:ascii="Calibri" w:eastAsia="宋体" w:hAnsi="宋体" w:hint="default"/>
      </w:rPr>
      <w:fldChar w:fldCharType="begin"/>
    </w:r>
    <w:r>
      <w:instrText>PAGE  \* MERGEFORMAT</w:instrText>
    </w:r>
    <w:r>
      <w:fldChar w:fldCharType="separate"/>
    </w:r>
    <w:r>
      <w:rPr>
        <w:color w:val="auto"/>
        <w:position w:val="0"/>
        <w:sz w:val="18"/>
        <w:szCs w:val="18"/>
        <w:rFonts w:ascii="Calibri" w:eastAsia="宋体" w:hAnsi="宋体" w:hint="default"/>
      </w:rPr>
      <w:t>1</w:t>
    </w:r>
    <w:r>
      <w:rPr>
        <w:color w:val="auto"/>
        <w:position w:val="0"/>
        <w:sz w:val="18"/>
        <w:szCs w:val="18"/>
        <w:rFonts w:ascii="Calibri" w:eastAsia="宋体" w:hAnsi="宋体" w:hint="default"/>
      </w:rPr>
      <w:fldChar w:fldCharType="end"/>
    </w:r>
  </w:p>
  <w:p>
    <w:pPr>
      <w:pStyle w:val="PO154"/>
      <w:numPr>
        <w:ilvl w:val="0"/>
        <w:numId w:val="0"/>
      </w:numPr>
      <w:jc w:val="left"/>
      <w:spacing w:lineRule="auto" w:line="240" w:before="0" w:after="0"/>
      <w:ind w:right="0" w:firstLine="0"/>
      <w:tabs>
        <w:tab w:val="center" w:pos="4153"/>
        <w:tab w:val="right" w:pos="8306"/>
      </w:tabs>
      <w:rPr>
        <w:color w:val="auto"/>
        <w:position w:val="0"/>
        <w:sz w:val="18"/>
        <w:szCs w:val="18"/>
        <w:rFonts w:ascii="Calibri" w:eastAsia="宋体" w:hAnsi="宋体" w:hint="default"/>
      </w:rPr>
      <w:snapToGrid w:val="off"/>
      <w:autoSpaceDE w:val="1"/>
      <w:autoSpaceDN w:val="1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avePreviewPicture/>
  <w:proofState w:spelling="clean" w:grammar="clean"/>
  <w:defaultTabStop w:val="420"/>
  <w:displayHorizontalDrawingGridEvery w:val="0"/>
  <w:displayVerticalDrawingGridEvery w:val="2"/>
  <w:characterSpacingControl w:val="compressPunctuation"/>
  <w:bordersDoNotSurroundHeader/>
  <w:compat>
    <w:balanceSingleByteDoubleByteWidth/>
    <w:adjustLineHeightInTable/>
    <w:useFELayout/>
    <w:compatSetting w:name="compatibilityMode" w:uri="http://schemas.microsoft.com/office/word" w:val="15"/>
    <w:ulTrailSpace/>
  </w:compat>
  <m:mathPr>
    <m:mathFont m:value="Cambria Math"/>
    <m:brkBin m:value="before"/>
    <m:brkBinSub m:value="--"/>
    <m:smallFrac m:value="off"/>
    <m:dispDef/>
    <m:lMargin m:value="0"/>
    <m:rMargin m:value="0"/>
    <m:defJc m:value="centerGroup"/>
    <m:wrapIndent m:value="1440"/>
    <m:intLim m:value="subSup"/>
    <m:naryLim m:value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docDefaults>
    <w:pPrDefault>
      <w:pPr>
        <w:autoSpaceDE w:val="1"/>
        <w:autoSpaceDN w:val="1"/>
        <w:widowControl/>
        <w:wordWrap/>
      </w:pPr>
    </w:pPrDefault>
    <w:rPrDefault>
      <w:rPr>
        <w:rFonts w:ascii="Calibri" w:eastAsia="宋体" w:hAnsi="Calibri"/>
        <w:shd w:val="clear"/>
        <w:sz w:val="21"/>
        <w:szCs w:val="21"/>
        <w:w w:val="100"/>
      </w:rPr>
    </w:rPrDefault>
  </w:docDefaults>
  <w:style w:default="1" w:styleId="PO1" w:type="paragraph">
    <w:name w:val="Normal"/>
    <w:qFormat/>
    <w:uiPriority w:val="1"/>
    <w:pPr>
      <w:autoSpaceDE w:val="1"/>
      <w:autoSpaceDN w:val="1"/>
      <w:jc w:val="both"/>
      <w:wordWrap/>
    </w:pPr>
  </w:style>
  <w:style w:default="1" w:styleId="PO2" w:type="character">
    <w:name w:val="Default Paragraph Font"/>
    <w:uiPriority w:val="2"/>
    <w:semiHidden/>
    <w:unhideWhenUsed/>
  </w:style>
  <w:style w:default="1" w:styleId="PO3" w:type="table">
    <w:name w:val="Normal Table"/>
    <w:qFormat/>
    <w:uiPriority w:val="3"/>
    <w:semiHidden/>
    <w:unhideWhenUsed/>
    <w:tblPr>
      <w:tblCellMar>
        <w:bottom w:type="dxa" w:w="0"/>
        <w:left w:type="dxa" w:w="108"/>
        <w:right w:type="dxa" w:w="108"/>
        <w:top w:type="dxa" w:w="0"/>
      </w:tblCellMar>
      <w:tblInd w:type="dxa" w:w="0"/>
    </w:tblPr>
  </w:style>
  <w:style w:default="1" w:styleId="PO4" w:type="numbering">
    <w:name w:val="No List"/>
    <w:uiPriority w:val="4"/>
    <w:semiHidden/>
    <w:unhideWhenUsed/>
  </w:style>
  <w:style w:styleId="PO5" w:type="paragraph">
    <w:name w:val="No Spacing"/>
    <w:link w:val="PO-1"/>
    <w:qFormat/>
    <w:uiPriority w:val="5"/>
    <w:pPr>
      <w:jc w:val="both"/>
    </w:pPr>
    <w:rPr>
      <w:shd w:val="clear"/>
      <w:sz w:val="21"/>
      <w:szCs w:val="21"/>
      <w:w w:val="100"/>
    </w:rPr>
  </w:style>
  <w:style w:styleId="PO6" w:type="paragraph">
    <w:name w:val="Title"/>
    <w:link w:val="PO-1"/>
    <w:qFormat/>
    <w:uiPriority w:val="6"/>
    <w:pPr>
      <w:jc w:val="center"/>
    </w:pPr>
    <w:rPr>
      <w:b/>
      <w:shd w:val="clear"/>
      <w:sz w:val="32"/>
      <w:szCs w:val="32"/>
      <w:w w:val="100"/>
    </w:rPr>
  </w:style>
  <w:style w:styleId="PO7" w:type="paragraph">
    <w:name w:val="heading 1"/>
    <w:link w:val="PO-1"/>
    <w:qFormat/>
    <w:uiPriority w:val="7"/>
    <w:pPr>
      <w:jc w:val="both"/>
    </w:pPr>
    <w:rPr>
      <w:shd w:val="clear"/>
      <w:sz w:val="28"/>
      <w:szCs w:val="28"/>
      <w:w w:val="100"/>
    </w:rPr>
  </w:style>
  <w:style w:styleId="PO8" w:type="paragraph">
    <w:name w:val="heading 2"/>
    <w:basedOn w:val="PO1"/>
    <w:next w:val="PO1"/>
    <w:link w:val="PO157"/>
    <w:qFormat/>
    <w:uiPriority w:val="8"/>
    <w:pPr>
      <w:autoSpaceDE w:val="1"/>
      <w:autoSpaceDN w:val="1"/>
      <w:keepLines/>
      <w:keepNext/>
      <w:widowControl/>
      <w:wordWrap/>
    </w:pPr>
    <w:rPr>
      <w:rFonts w:ascii="Arial" w:eastAsia="Times New Roman" w:hAnsi="Arial"/>
      <w:b/>
      <w:shd w:val="clear"/>
      <w:sz w:val="32"/>
      <w:szCs w:val="32"/>
      <w:w w:val="100"/>
    </w:rPr>
  </w:style>
  <w:style w:styleId="PO9" w:type="paragraph">
    <w:name w:val="heading 3"/>
    <w:link w:val="PO-1"/>
    <w:qFormat/>
    <w:uiPriority w:val="9"/>
    <w:pPr>
      <w:ind w:left="1000" w:hanging="400"/>
      <w:jc w:val="both"/>
    </w:pPr>
    <w:rPr>
      <w:shd w:val="clear"/>
      <w:sz w:val="21"/>
      <w:szCs w:val="21"/>
      <w:w w:val="100"/>
    </w:rPr>
  </w:style>
  <w:style w:styleId="PO10" w:type="paragraph">
    <w:name w:val="heading 4"/>
    <w:link w:val="PO-1"/>
    <w:qFormat/>
    <w:uiPriority w:val="10"/>
    <w:pPr>
      <w:ind w:left="1200" w:hanging="400"/>
      <w:jc w:val="both"/>
    </w:pPr>
    <w:rPr>
      <w:b/>
      <w:shd w:val="clear"/>
      <w:sz w:val="21"/>
      <w:szCs w:val="21"/>
      <w:w w:val="100"/>
    </w:rPr>
  </w:style>
  <w:style w:styleId="PO11" w:type="paragraph">
    <w:name w:val="heading 5"/>
    <w:link w:val="PO-1"/>
    <w:qFormat/>
    <w:uiPriority w:val="11"/>
    <w:pPr>
      <w:ind w:left="1400" w:hanging="400"/>
      <w:jc w:val="both"/>
    </w:pPr>
    <w:rPr>
      <w:shd w:val="clear"/>
      <w:sz w:val="21"/>
      <w:szCs w:val="21"/>
      <w:w w:val="100"/>
    </w:rPr>
  </w:style>
  <w:style w:styleId="PO12" w:type="paragraph">
    <w:name w:val="heading 6"/>
    <w:link w:val="PO-1"/>
    <w:qFormat/>
    <w:uiPriority w:val="12"/>
    <w:pPr>
      <w:ind w:left="1600" w:hanging="400"/>
      <w:jc w:val="both"/>
    </w:pPr>
    <w:rPr>
      <w:b/>
      <w:shd w:val="clear"/>
      <w:sz w:val="21"/>
      <w:szCs w:val="21"/>
      <w:w w:val="100"/>
    </w:rPr>
  </w:style>
  <w:style w:styleId="PO13" w:type="paragraph">
    <w:name w:val="heading 7"/>
    <w:link w:val="PO-1"/>
    <w:qFormat/>
    <w:uiPriority w:val="13"/>
    <w:pPr>
      <w:ind w:left="1800" w:hanging="400"/>
      <w:jc w:val="both"/>
    </w:pPr>
    <w:rPr>
      <w:shd w:val="clear"/>
      <w:sz w:val="21"/>
      <w:szCs w:val="21"/>
      <w:w w:val="100"/>
    </w:rPr>
  </w:style>
  <w:style w:styleId="PO14" w:type="paragraph">
    <w:name w:val="heading 8"/>
    <w:link w:val="PO-1"/>
    <w:qFormat/>
    <w:uiPriority w:val="14"/>
    <w:pPr>
      <w:ind w:left="2000" w:hanging="400"/>
      <w:jc w:val="both"/>
    </w:pPr>
    <w:rPr>
      <w:shd w:val="clear"/>
      <w:sz w:val="21"/>
      <w:szCs w:val="21"/>
      <w:w w:val="100"/>
    </w:rPr>
  </w:style>
  <w:style w:styleId="PO15" w:type="paragraph">
    <w:name w:val="heading 9"/>
    <w:link w:val="PO-1"/>
    <w:qFormat/>
    <w:uiPriority w:val="15"/>
    <w:pPr>
      <w:ind w:left="2200" w:hanging="400"/>
      <w:jc w:val="both"/>
    </w:pPr>
    <w:rPr>
      <w:shd w:val="clear"/>
      <w:sz w:val="21"/>
      <w:szCs w:val="21"/>
      <w:w w:val="100"/>
    </w:rPr>
  </w:style>
  <w:style w:styleId="PO16" w:type="paragraph">
    <w:name w:val="Subtitle"/>
    <w:link w:val="PO-1"/>
    <w:qFormat/>
    <w:uiPriority w:val="16"/>
    <w:pPr>
      <w:jc w:val="center"/>
    </w:pPr>
    <w:rPr>
      <w:shd w:val="clear"/>
      <w:sz w:val="24"/>
      <w:szCs w:val="24"/>
      <w:w w:val="100"/>
    </w:rPr>
  </w:style>
  <w:style w:styleId="PO17" w:type="character">
    <w:name w:val="Subtle Emphasis"/>
    <w:qFormat/>
    <w:uiPriority w:val="17"/>
    <w:rPr>
      <w:color w:val="404040"/>
      <w:i/>
      <w:shd w:val="clear"/>
      <w:sz w:val="21"/>
      <w:szCs w:val="21"/>
      <w:w w:val="100"/>
    </w:rPr>
  </w:style>
  <w:style w:styleId="PO18" w:type="character">
    <w:name w:val="Emphasis"/>
    <w:qFormat/>
    <w:uiPriority w:val="18"/>
    <w:rPr>
      <w:i/>
      <w:shd w:val="clear"/>
      <w:sz w:val="21"/>
      <w:szCs w:val="21"/>
      <w:w w:val="100"/>
    </w:rPr>
  </w:style>
  <w:style w:styleId="PO19" w:type="character">
    <w:name w:val="Intense Emphasis"/>
    <w:qFormat/>
    <w:uiPriority w:val="19"/>
    <w:rPr>
      <w:color w:val="5B9BD5"/>
      <w:i/>
      <w:shd w:val="clear"/>
      <w:sz w:val="21"/>
      <w:szCs w:val="21"/>
      <w:w w:val="100"/>
    </w:rPr>
  </w:style>
  <w:style w:styleId="PO20" w:type="character">
    <w:name w:val="Strong"/>
    <w:qFormat/>
    <w:uiPriority w:val="20"/>
    <w:rPr>
      <w:b/>
      <w:shd w:val="clear"/>
      <w:sz w:val="21"/>
      <w:szCs w:val="21"/>
      <w:w w:val="100"/>
    </w:rPr>
  </w:style>
  <w:style w:styleId="PO21" w:type="paragraph">
    <w:name w:val="Quote"/>
    <w:link w:val="PO-1"/>
    <w:qFormat/>
    <w:uiPriority w:val="21"/>
    <w:pPr>
      <w:ind w:left="864" w:right="864" w:firstLine="0"/>
      <w:jc w:val="center"/>
    </w:pPr>
    <w:rPr>
      <w:color w:val="404040"/>
      <w:i/>
      <w:shd w:val="clear"/>
      <w:sz w:val="21"/>
      <w:szCs w:val="21"/>
      <w:w w:val="100"/>
    </w:rPr>
  </w:style>
  <w:style w:styleId="PO22" w:type="paragraph">
    <w:name w:val="Intense Quote"/>
    <w:link w:val="PO-1"/>
    <w:qFormat/>
    <w:uiPriority w:val="22"/>
    <w:pPr>
      <w:ind w:left="950" w:right="950" w:firstLine="0"/>
      <w:jc w:val="center"/>
    </w:pPr>
    <w:rPr>
      <w:color w:val="5B9BD5"/>
      <w:i/>
      <w:shd w:val="clear"/>
      <w:sz w:val="21"/>
      <w:szCs w:val="21"/>
      <w:w w:val="100"/>
    </w:rPr>
  </w:style>
  <w:style w:styleId="PO23" w:type="character">
    <w:name w:val="Subtle Reference"/>
    <w:qFormat/>
    <w:uiPriority w:val="23"/>
    <w:rPr>
      <w:color w:val="5A5A5A"/>
      <w:shd w:val="clear"/>
      <w:smallCaps/>
      <w:sz w:val="21"/>
      <w:szCs w:val="21"/>
      <w:w w:val="100"/>
    </w:rPr>
  </w:style>
  <w:style w:styleId="PO24" w:type="character">
    <w:name w:val="Intense Reference"/>
    <w:qFormat/>
    <w:uiPriority w:val="24"/>
    <w:rPr>
      <w:color w:val="5B9BD5"/>
      <w:b/>
      <w:shd w:val="clear"/>
      <w:smallCaps/>
      <w:sz w:val="21"/>
      <w:szCs w:val="21"/>
      <w:w w:val="100"/>
    </w:rPr>
  </w:style>
  <w:style w:styleId="PO25" w:type="character">
    <w:name w:val="Book Title"/>
    <w:qFormat/>
    <w:uiPriority w:val="25"/>
    <w:rPr>
      <w:i/>
      <w:b/>
      <w:shd w:val="clear"/>
      <w:sz w:val="21"/>
      <w:szCs w:val="21"/>
      <w:w w:val="100"/>
    </w:rPr>
  </w:style>
  <w:style w:styleId="PO26" w:type="paragraph">
    <w:name w:val="List Paragraph"/>
    <w:link w:val="PO-1"/>
    <w:qFormat/>
    <w:uiPriority w:val="26"/>
    <w:pPr>
      <w:ind w:left="850" w:firstLine="0"/>
      <w:jc w:val="both"/>
    </w:pPr>
    <w:rPr>
      <w:shd w:val="clear"/>
      <w:sz w:val="21"/>
      <w:szCs w:val="21"/>
      <w:w w:val="100"/>
    </w:rPr>
  </w:style>
  <w:style w:styleId="PO27" w:type="paragraph">
    <w:name w:val="TOC Heading"/>
    <w:link w:val="PO-1"/>
    <w:qFormat/>
    <w:uiPriority w:val="27"/>
    <w:unhideWhenUsed/>
    <w:pPr/>
    <w:rPr>
      <w:color w:val="2E74B5"/>
      <w:shd w:val="clear"/>
      <w:sz w:val="32"/>
      <w:szCs w:val="32"/>
      <w:w w:val="100"/>
    </w:rPr>
  </w:style>
  <w:style w:styleId="PO28" w:type="paragraph">
    <w:name w:val="toc 1"/>
    <w:link w:val="PO-1"/>
    <w:qFormat/>
    <w:uiPriority w:val="28"/>
    <w:unhideWhenUsed/>
    <w:pPr>
      <w:jc w:val="both"/>
    </w:pPr>
    <w:rPr>
      <w:shd w:val="clear"/>
      <w:sz w:val="21"/>
      <w:szCs w:val="21"/>
      <w:w w:val="100"/>
    </w:rPr>
  </w:style>
  <w:style w:styleId="PO29" w:type="paragraph">
    <w:name w:val="toc 2"/>
    <w:link w:val="PO-1"/>
    <w:qFormat/>
    <w:uiPriority w:val="29"/>
    <w:unhideWhenUsed/>
    <w:pPr>
      <w:ind w:left="425" w:firstLine="0"/>
      <w:jc w:val="both"/>
    </w:pPr>
    <w:rPr>
      <w:shd w:val="clear"/>
      <w:sz w:val="21"/>
      <w:szCs w:val="21"/>
      <w:w w:val="100"/>
    </w:rPr>
  </w:style>
  <w:style w:styleId="PO30" w:type="paragraph">
    <w:name w:val="toc 3"/>
    <w:link w:val="PO-1"/>
    <w:qFormat/>
    <w:uiPriority w:val="30"/>
    <w:unhideWhenUsed/>
    <w:pPr>
      <w:ind w:left="850" w:firstLine="0"/>
      <w:jc w:val="both"/>
    </w:pPr>
    <w:rPr>
      <w:shd w:val="clear"/>
      <w:sz w:val="21"/>
      <w:szCs w:val="21"/>
      <w:w w:val="100"/>
    </w:rPr>
  </w:style>
  <w:style w:styleId="PO31" w:type="paragraph">
    <w:name w:val="toc 4"/>
    <w:link w:val="PO-1"/>
    <w:qFormat/>
    <w:uiPriority w:val="31"/>
    <w:unhideWhenUsed/>
    <w:pPr>
      <w:ind w:left="1275" w:firstLine="0"/>
      <w:jc w:val="both"/>
    </w:pPr>
    <w:rPr>
      <w:shd w:val="clear"/>
      <w:sz w:val="21"/>
      <w:szCs w:val="21"/>
      <w:w w:val="100"/>
    </w:rPr>
  </w:style>
  <w:style w:styleId="PO32" w:type="paragraph">
    <w:name w:val="toc 5"/>
    <w:link w:val="PO-1"/>
    <w:qFormat/>
    <w:uiPriority w:val="32"/>
    <w:unhideWhenUsed/>
    <w:pPr>
      <w:ind w:left="1700" w:firstLine="0"/>
      <w:jc w:val="both"/>
    </w:pPr>
    <w:rPr>
      <w:shd w:val="clear"/>
      <w:sz w:val="21"/>
      <w:szCs w:val="21"/>
      <w:w w:val="100"/>
    </w:rPr>
  </w:style>
  <w:style w:styleId="PO33" w:type="paragraph">
    <w:name w:val="toc 6"/>
    <w:link w:val="PO-1"/>
    <w:qFormat/>
    <w:uiPriority w:val="33"/>
    <w:unhideWhenUsed/>
    <w:pPr>
      <w:ind w:left="2125" w:firstLine="0"/>
      <w:jc w:val="both"/>
    </w:pPr>
    <w:rPr>
      <w:shd w:val="clear"/>
      <w:sz w:val="21"/>
      <w:szCs w:val="21"/>
      <w:w w:val="100"/>
    </w:rPr>
  </w:style>
  <w:style w:styleId="PO34" w:type="paragraph">
    <w:name w:val="toc 7"/>
    <w:link w:val="PO-1"/>
    <w:qFormat/>
    <w:uiPriority w:val="34"/>
    <w:unhideWhenUsed/>
    <w:pPr>
      <w:ind w:left="2550" w:firstLine="0"/>
      <w:jc w:val="both"/>
    </w:pPr>
    <w:rPr>
      <w:shd w:val="clear"/>
      <w:sz w:val="21"/>
      <w:szCs w:val="21"/>
      <w:w w:val="100"/>
    </w:rPr>
  </w:style>
  <w:style w:styleId="PO35" w:type="paragraph">
    <w:name w:val="toc 8"/>
    <w:link w:val="PO-1"/>
    <w:qFormat/>
    <w:uiPriority w:val="35"/>
    <w:unhideWhenUsed/>
    <w:pPr>
      <w:ind w:left="2975" w:firstLine="0"/>
      <w:jc w:val="both"/>
    </w:pPr>
    <w:rPr>
      <w:shd w:val="clear"/>
      <w:sz w:val="21"/>
      <w:szCs w:val="21"/>
      <w:w w:val="100"/>
    </w:rPr>
  </w:style>
  <w:style w:styleId="PO36" w:type="paragraph">
    <w:name w:val="toc 9"/>
    <w:link w:val="PO-1"/>
    <w:qFormat/>
    <w:uiPriority w:val="36"/>
    <w:unhideWhenUsed/>
    <w:pPr>
      <w:ind w:left="3400" w:firstLine="0"/>
      <w:jc w:val="both"/>
    </w:pPr>
    <w:rPr>
      <w:shd w:val="clear"/>
      <w:sz w:val="21"/>
      <w:szCs w:val="21"/>
      <w:w w:val="100"/>
    </w:rPr>
  </w:style>
  <w:style w:default="1" w:styleId="PO37" w:type="table">
    <w:name w:val="Normal Table"/>
    <w:basedOn w:val="PO3"/>
    <w:uiPriority w:val="37"/>
    <w:tblPr>
      <w:tblCellMar>
        <w:bottom w:type="dxa" w:w="0"/>
        <w:left w:type="dxa" w:w="108"/>
        <w:right w:type="dxa" w:w="108"/>
        <w:top w:type="dxa" w:w="0"/>
      </w:tblCellMar>
      <w:tblInd w:type="dxa" w:w="0"/>
    </w:tblPr>
  </w:style>
  <w:style w:styleId="PO152" w:type="paragraph">
    <w:name w:val="header"/>
    <w:basedOn w:val="PO1"/>
    <w:link w:val="PO153"/>
    <w:uiPriority w:val="152"/>
    <w:semiHidden/>
    <w:unhideWhenUsed/>
    <w:pPr>
      <w:autoSpaceDE w:val="1"/>
      <w:autoSpaceDN w:val="1"/>
      <w:jc w:val="center"/>
      <w:tabs>
        <w:tab w:val="center" w:pos="4153"/>
        <w:tab w:val="right" w:pos="8306"/>
      </w:tabs>
      <w:widowControl/>
      <w:wordWrap/>
    </w:pPr>
    <w:rPr>
      <w:shd w:val="clear"/>
      <w:sz w:val="18"/>
      <w:szCs w:val="18"/>
      <w:w w:val="100"/>
    </w:rPr>
  </w:style>
  <w:style w:customStyle="1" w:styleId="PO153" w:type="character">
    <w:name w:val="页眉 Char"/>
    <w:basedOn w:val="PO2"/>
    <w:link w:val="PO152"/>
    <w:uiPriority w:val="153"/>
    <w:semiHidden/>
    <w:rPr>
      <w:shd w:val="clear"/>
      <w:sz w:val="18"/>
      <w:szCs w:val="18"/>
      <w:w w:val="100"/>
    </w:rPr>
  </w:style>
  <w:style w:styleId="PO154" w:type="paragraph">
    <w:name w:val="footer"/>
    <w:basedOn w:val="PO1"/>
    <w:link w:val="PO155"/>
    <w:uiPriority w:val="154"/>
    <w:unhideWhenUsed/>
    <w:pPr>
      <w:autoSpaceDE w:val="1"/>
      <w:autoSpaceDN w:val="1"/>
      <w:tabs>
        <w:tab w:val="center" w:pos="4153"/>
        <w:tab w:val="right" w:pos="8306"/>
      </w:tabs>
      <w:widowControl/>
      <w:wordWrap/>
    </w:pPr>
    <w:rPr>
      <w:shd w:val="clear"/>
      <w:sz w:val="18"/>
      <w:szCs w:val="18"/>
      <w:w w:val="100"/>
    </w:rPr>
  </w:style>
  <w:style w:customStyle="1" w:styleId="PO155" w:type="character">
    <w:name w:val="页脚 Char"/>
    <w:basedOn w:val="PO2"/>
    <w:link w:val="PO154"/>
    <w:uiPriority w:val="155"/>
    <w:rPr>
      <w:shd w:val="clear"/>
      <w:sz w:val="18"/>
      <w:szCs w:val="18"/>
      <w:w w:val="100"/>
    </w:rPr>
  </w:style>
  <w:style w:styleId="PO156" w:type="paragraph">
    <w:name w:val="Normal (Web)"/>
    <w:basedOn w:val="PO1"/>
    <w:uiPriority w:val="156"/>
    <w:semiHidden/>
    <w:unhideWhenUsed/>
    <w:rPr>
      <w:rFonts w:ascii="Times New Roman" w:eastAsia="Times New Roman" w:hAnsi="Times New Roman"/>
      <w:shd w:val="clear"/>
      <w:sz w:val="24"/>
      <w:szCs w:val="24"/>
      <w:w w:val="100"/>
    </w:rPr>
  </w:style>
  <w:style w:customStyle="1" w:styleId="PO157" w:type="character">
    <w:name w:val="标题 2 Char"/>
    <w:basedOn w:val="PO2"/>
    <w:link w:val="PO8"/>
    <w:uiPriority w:val="157"/>
    <w:rPr>
      <w:rFonts w:ascii="Arial" w:eastAsia="Times New Roman" w:hAnsi="Arial"/>
      <w:b/>
      <w:shd w:val="clear"/>
      <w:sz w:val="32"/>
      <w:szCs w:val="32"/>
      <w:w w:val="1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?>
<Relationships xmlns="http://schemas.openxmlformats.org/package/2006/relationships"><Relationship Id="rId1" Type="http://schemas.openxmlformats.org/officeDocument/2006/relationships/webSettings" Target="webSettings.xml"></Relationship><Relationship Id="rId2" Type="http://schemas.openxmlformats.org/officeDocument/2006/relationships/fontTable" Target="fontTable.xml"></Relationship><Relationship Id="rId3" Type="http://schemas.openxmlformats.org/officeDocument/2006/relationships/settings" Target="settings.xml"></Relationship><Relationship Id="rId4" Type="http://schemas.openxmlformats.org/officeDocument/2006/relationships/styles" Target="styles.xml"></Relationship><Relationship Id="rId5" Type="http://schemas.openxmlformats.org/officeDocument/2006/relationships/footer" Target="footer2.xml"></Relationship><Relationship Id="rId6" Type="http://schemas.openxmlformats.org/officeDocument/2006/relationships/footer" Target="footer3.xml"></Relationship><Relationship Id="rId7" Type="http://schemas.openxmlformats.org/officeDocument/2006/relationships/theme" Target="theme/theme1.xml"></Relationship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JisuOffice Write</Application>
  <AppVersion>12.000</AppVersion>
  <Characters>5840</Characters>
  <CharactersWithSpaces>0</CharactersWithSpaces>
  <Company>微软中国</Company>
  <DocSecurity>0</DocSecurity>
  <HyperlinksChanged>false</HyperlinksChanged>
  <Lines>41</Lines>
  <LinksUpToDate>false</LinksUpToDate>
  <Pages>10</Pages>
  <Paragraphs>11</Paragraphs>
  <Words>873</Words>
  <TotalTime>0</TotalTime>
  <MMClips>0</MMClip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Title text</vt:lpstr>
    </vt:vector>
  </TitlesOfParts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3</cp:revision>
  <dc:creator>微软中国</dc:creator>
  <cp:lastModifiedBy/>
  <dcterms:modified xsi:type="dcterms:W3CDTF">2018-04-17T01:08:00Z</dcterms:modified>
</cp:coreProperties>
</file>