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2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
<Relationships xmlns="http://schemas.openxmlformats.org/package/2006/relationships"><Relationship Id="rId1" Type="http://schemas.openxmlformats.org/package/2006/relationships/metadata/core-properties" Target="docProps/core.xml"></Relationship><Relationship Id="rId2" Type="http://schemas.openxmlformats.org/officeDocument/2006/relationships/extended-properties" Target="docProps/app.xml"></Relationship><Relationship Id="rId3" Type="http://schemas.openxmlformats.org/officeDocument/2006/relationships/officeDocument" Target="word/document.xml"></Relationship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="http://schemas.openxmlformats.org/wordprocessingml/2006/main" xmlns:wpg="http://schemas.microsoft.com/office/word/2010/wordprocessingGroup" xmlns:wne="http://schemas.microsoft.com/office/word/2006/wordml" xmlns:wps="http://schemas.microsoft.com/office/word/2010/wordprocessingShape" xmlns:wpc="http://schemas.microsoft.com/office/word/2010/wordprocessingCanvas" xmlns:mc="http://schemas.openxmlformats.org/markup-compatibility/2006" xmlns:w14="http://schemas.microsoft.com/office/word/2010/wordml" xmlns:wpi="http://schemas.microsoft.com/office/word/2010/wordprocessingInk">
  <w:body>
    <w:p>
      <w:pPr>
        <w:numPr>
          <w:ilvl w:val="0"/>
          <w:numId w:val="0"/>
        </w:numPr>
        <w:jc w:val="left"/>
        <w:spacing w:lineRule="exact" w:line="554" w:before="0" w:after="0"/>
        <w:ind w:right="0" w:firstLine="0"/>
        <w:rPr>
          <w:color w:val="auto"/>
          <w:position w:val="0"/>
          <w:sz w:val="32"/>
          <w:szCs w:val="32"/>
          <w:rFonts w:ascii="方正小标宋_GBK" w:eastAsia="方正小标宋_GBK" w:hAnsi="方正小标宋_GBK" w:hint="default"/>
        </w:rPr>
        <w:autoSpaceDE w:val="1"/>
        <w:autoSpaceDN w:val="1"/>
      </w:pPr>
      <w:r>
        <w:rPr>
          <w:color w:val="auto"/>
          <w:position w:val="0"/>
          <w:sz w:val="32"/>
          <w:szCs w:val="32"/>
          <w:rFonts w:ascii="方正小标宋_GBK" w:eastAsia="方正小标宋_GBK" w:hAnsi="方正小标宋_GBK" w:hint="default"/>
        </w:rPr>
        <w:t>附件2：</w:t>
      </w:r>
    </w:p>
    <w:p>
      <w:pPr>
        <w:numPr>
          <w:ilvl w:val="0"/>
          <w:numId w:val="0"/>
        </w:numPr>
        <w:jc w:val="both"/>
        <w:spacing w:lineRule="exact" w:line="554" w:before="0" w:after="0"/>
        <w:ind w:right="0" w:firstLine="0"/>
        <w:rPr>
          <w:color w:val="auto"/>
          <w:position w:val="0"/>
          <w:sz w:val="44"/>
          <w:szCs w:val="44"/>
          <w:rFonts w:ascii="方正小标宋_GBK" w:eastAsia="方正小标宋_GBK" w:hAnsi="方正小标宋_GBK" w:hint="default"/>
        </w:rPr>
        <w:autoSpaceDE w:val="1"/>
        <w:autoSpaceDN w:val="1"/>
      </w:pPr>
    </w:p>
    <w:p>
      <w:pPr>
        <w:numPr>
          <w:ilvl w:val="0"/>
          <w:numId w:val="0"/>
        </w:numPr>
        <w:jc w:val="center"/>
        <w:spacing w:lineRule="exact" w:line="554" w:before="0" w:after="0"/>
        <w:ind w:right="0" w:firstLine="0"/>
        <w:rPr>
          <w:color w:val="auto"/>
          <w:position w:val="0"/>
          <w:sz w:val="44"/>
          <w:szCs w:val="44"/>
          <w:rFonts w:ascii="方正小标宋_GBK" w:eastAsia="方正小标宋_GBK" w:hAnsi="方正小标宋_GBK" w:hint="default"/>
        </w:rPr>
        <w:autoSpaceDE w:val="1"/>
        <w:autoSpaceDN w:val="1"/>
      </w:pPr>
    </w:p>
    <w:p>
      <w:pPr>
        <w:numPr>
          <w:ilvl w:val="0"/>
          <w:numId w:val="0"/>
        </w:numPr>
        <w:jc w:val="center"/>
        <w:spacing w:lineRule="exact" w:line="554" w:before="0" w:after="0"/>
        <w:ind w:right="0" w:firstLine="0"/>
        <w:rPr>
          <w:color w:val="auto"/>
          <w:position w:val="0"/>
          <w:sz w:val="44"/>
          <w:szCs w:val="44"/>
          <w:rFonts w:ascii="方正小标宋_GBK" w:eastAsia="方正小标宋_GBK" w:hAnsi="方正小标宋_GBK" w:hint="default"/>
        </w:rPr>
        <w:autoSpaceDE w:val="1"/>
        <w:autoSpaceDN w:val="1"/>
      </w:pPr>
      <w:r>
        <w:rPr>
          <w:color w:val="auto"/>
          <w:position w:val="0"/>
          <w:sz w:val="44"/>
          <w:szCs w:val="44"/>
          <w:rFonts w:ascii="方正小标宋_GBK" w:eastAsia="方正小标宋_GBK" w:hAnsi="方正小标宋_GBK" w:hint="default"/>
        </w:rPr>
        <w:t>安徽省粮食行业协会2018年工作要点</w:t>
      </w:r>
    </w:p>
    <w:p>
      <w:pPr>
        <w:numPr>
          <w:ilvl w:val="0"/>
          <w:numId w:val="0"/>
        </w:numPr>
        <w:jc w:val="both"/>
        <w:spacing w:lineRule="atLeast" w:line="220" w:before="0" w:after="0"/>
        <w:ind w:right="0" w:firstLine="0"/>
        <w:rPr>
          <w:color w:val="auto"/>
          <w:position w:val="0"/>
          <w:sz w:val="28"/>
          <w:szCs w:val="28"/>
          <w:rFonts w:ascii="Calibri" w:eastAsia="宋体" w:hAnsi="宋体" w:hint="default"/>
        </w:rPr>
        <w:autoSpaceDE w:val="1"/>
        <w:autoSpaceDN w:val="1"/>
      </w:pPr>
    </w:p>
    <w:p>
      <w:pPr>
        <w:numPr>
          <w:ilvl w:val="0"/>
          <w:numId w:val="0"/>
        </w:numPr>
        <w:jc w:val="center"/>
        <w:spacing w:lineRule="atLeast" w:line="220" w:before="0" w:after="0"/>
        <w:ind w:right="0" w:firstLine="0"/>
        <w:rPr>
          <w:color w:val="auto"/>
          <w:position w:val="0"/>
          <w:sz w:val="30"/>
          <w:szCs w:val="30"/>
          <w:rFonts w:ascii="楷体_GB2312" w:eastAsia="楷体_GB2312" w:hAnsi="楷体_GB2312" w:hint="default"/>
        </w:rPr>
        <w:autoSpaceDE w:val="1"/>
        <w:autoSpaceDN w:val="1"/>
      </w:pPr>
      <w:r>
        <w:rPr>
          <w:color w:val="auto"/>
          <w:position w:val="0"/>
          <w:sz w:val="30"/>
          <w:szCs w:val="30"/>
          <w:rFonts w:ascii="楷体_GB2312" w:eastAsia="楷体_GB2312" w:hAnsi="楷体_GB2312" w:hint="default"/>
        </w:rPr>
        <w:t>（讨论稿）</w:t>
      </w:r>
    </w:p>
    <w:p>
      <w:pPr>
        <w:numPr>
          <w:ilvl w:val="0"/>
          <w:numId w:val="0"/>
        </w:numPr>
        <w:jc w:val="both"/>
        <w:spacing w:lineRule="atLeast" w:line="220" w:before="0" w:after="0"/>
        <w:ind w:right="0" w:firstLine="0"/>
        <w:rPr>
          <w:color w:val="auto"/>
          <w:position w:val="0"/>
          <w:sz w:val="28"/>
          <w:szCs w:val="28"/>
          <w:rFonts w:ascii="Calibri" w:eastAsia="宋体" w:hAnsi="宋体" w:hint="default"/>
        </w:rPr>
        <w:autoSpaceDE w:val="1"/>
        <w:autoSpaceDN w:val="1"/>
      </w:pPr>
    </w:p>
    <w:p>
      <w:pPr>
        <w:numPr>
          <w:ilvl w:val="0"/>
          <w:numId w:val="0"/>
        </w:numPr>
        <w:jc w:val="both"/>
        <w:spacing w:lineRule="exact" w:line="600" w:before="0" w:after="0"/>
        <w:ind w:right="0" w:firstLine="0"/>
        <w:rPr>
          <w:color w:val="auto"/>
          <w:position w:val="0"/>
          <w:sz w:val="32"/>
          <w:szCs w:val="32"/>
          <w:rFonts w:ascii="仿宋_GB2312" w:eastAsia="Times New Roman" w:hAnsi="Times New Roman" w:hint="default"/>
        </w:rPr>
        <w:autoSpaceDE w:val="1"/>
        <w:autoSpaceDN w:val="1"/>
      </w:pPr>
    </w:p>
    <w:p>
      <w:pPr>
        <w:numPr>
          <w:ilvl w:val="0"/>
          <w:numId w:val="0"/>
        </w:numPr>
        <w:jc w:val="both"/>
        <w:spacing w:lineRule="exact" w:line="600" w:before="0" w:after="0"/>
        <w:ind w:right="0" w:firstLine="640"/>
        <w:rPr>
          <w:spacing w:val="4"/>
          <w:color w:val="auto"/>
          <w:position w:val="0"/>
          <w:sz w:val="32"/>
          <w:szCs w:val="32"/>
          <w:rFonts w:ascii="仿宋_GB2312" w:eastAsia="仿宋_GB2312" w:hAnsi="仿宋_GB2312" w:hint="default"/>
        </w:rPr>
        <w:autoSpaceDE w:val="1"/>
        <w:autoSpaceDN w:val="1"/>
      </w:pP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2018年是全面贯彻落实党的十九大精神的开局之年,</w:t>
      </w:r>
      <w:r>
        <w:rPr>
          <w:color w:val="auto"/>
          <w:position w:val="0"/>
          <w:sz w:val="32"/>
          <w:szCs w:val="32"/>
          <w:rFonts w:ascii="仿宋" w:eastAsia="仿宋" w:hAnsi="仿宋" w:hint="default"/>
        </w:rPr>
        <w:t xml:space="preserve"> </w:t>
      </w:r>
      <w:r>
        <w:rPr>
          <w:color w:val="auto"/>
          <w:position w:val="0"/>
          <w:sz w:val="32"/>
          <w:szCs w:val="32"/>
          <w:rFonts w:ascii="仿宋" w:eastAsia="仿宋" w:hAnsi="仿宋" w:hint="default"/>
        </w:rPr>
        <w:t>是改革开放40周年，也是推进全省五大发展行动计划的关</w:t>
      </w:r>
      <w:r>
        <w:rPr>
          <w:color w:val="auto"/>
          <w:position w:val="0"/>
          <w:sz w:val="32"/>
          <w:szCs w:val="32"/>
          <w:rFonts w:ascii="仿宋" w:eastAsia="仿宋" w:hAnsi="仿宋" w:hint="default"/>
        </w:rPr>
        <w:t>键之年。安徽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省粮食行业协会</w:t>
      </w:r>
      <w:r>
        <w:rPr>
          <w:color w:val="auto"/>
          <w:position w:val="0"/>
          <w:sz w:val="32"/>
          <w:szCs w:val="32"/>
          <w:rFonts w:ascii="仿宋" w:eastAsia="仿宋" w:hAnsi="仿宋" w:hint="default"/>
        </w:rPr>
        <w:t>以坚持以习近平新时代中国特</w:t>
      </w:r>
      <w:r>
        <w:rPr>
          <w:color w:val="auto"/>
          <w:position w:val="0"/>
          <w:sz w:val="32"/>
          <w:szCs w:val="32"/>
          <w:rFonts w:ascii="仿宋" w:eastAsia="仿宋" w:hAnsi="仿宋" w:hint="default"/>
        </w:rPr>
        <w:t>色社会主义思想为指导，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全面贯彻</w:t>
      </w:r>
      <w:r>
        <w:rPr>
          <w:color w:val="auto"/>
          <w:position w:val="0"/>
          <w:sz w:val="32"/>
          <w:szCs w:val="32"/>
          <w:rFonts w:ascii="仿宋" w:eastAsia="仿宋" w:hAnsi="仿宋" w:hint="default"/>
        </w:rPr>
        <w:t>党的十九大、十九届二中</w:t>
      </w:r>
      <w:r>
        <w:rPr>
          <w:color w:val="auto"/>
          <w:position w:val="0"/>
          <w:sz w:val="32"/>
          <w:szCs w:val="32"/>
          <w:rFonts w:ascii="仿宋" w:eastAsia="仿宋" w:hAnsi="仿宋" w:hint="default"/>
        </w:rPr>
        <w:t>全会精神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，牢固树立和落实创新、协调、绿色、开放、共享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的发展理念，紧紧围绕</w:t>
      </w:r>
      <w:r>
        <w:rPr>
          <w:color w:val="auto"/>
          <w:position w:val="0"/>
          <w:sz w:val="32"/>
          <w:szCs w:val="32"/>
          <w:rFonts w:ascii="仿宋" w:eastAsia="仿宋" w:hAnsi="仿宋" w:hint="default"/>
        </w:rPr>
        <w:t>实施粮食安全战略、乡村振兴战略、</w:t>
      </w:r>
      <w:r>
        <w:rPr>
          <w:color w:val="auto"/>
          <w:position w:val="0"/>
          <w:sz w:val="32"/>
          <w:szCs w:val="32"/>
          <w:rFonts w:ascii="仿宋" w:eastAsia="仿宋" w:hAnsi="仿宋" w:hint="default"/>
        </w:rPr>
        <w:t>健康中国战略和五大发展行动计划等重大决策部署，深入</w:t>
      </w:r>
      <w:r>
        <w:rPr>
          <w:color w:val="auto"/>
          <w:position w:val="0"/>
          <w:sz w:val="32"/>
          <w:szCs w:val="32"/>
          <w:rFonts w:ascii="仿宋" w:eastAsia="仿宋" w:hAnsi="仿宋" w:hint="default"/>
        </w:rPr>
        <w:t>推进供给侧结构性改革，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引导行业贯彻落实好国家产业</w:t>
      </w:r>
      <w:r>
        <w:rPr>
          <w:color w:val="auto"/>
          <w:position w:val="0"/>
          <w:sz w:val="32"/>
          <w:szCs w:val="32"/>
          <w:rFonts w:ascii="仿宋_GB2312" w:eastAsia="Times New Roman" w:hAnsi="Times New Roman" w:hint="default"/>
        </w:rPr>
        <w:t>政策，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推动企业产业</w:t>
      </w:r>
      <w:r>
        <w:rPr>
          <w:color w:val="auto"/>
          <w:position w:val="0"/>
          <w:sz w:val="32"/>
          <w:szCs w:val="32"/>
          <w:rFonts w:ascii="仿宋_GB2312" w:eastAsia="Times New Roman" w:hAnsi="Times New Roman" w:hint="default"/>
        </w:rPr>
        <w:t>升级，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走品质品牌发展之路。积极开展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调查研究，反映会员企业诉求。适应粮食经济发展新常态，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推进协会事业新发展</w:t>
      </w:r>
      <w:r>
        <w:rPr>
          <w:spacing w:val="4"/>
          <w:color w:val="auto"/>
          <w:position w:val="0"/>
          <w:sz w:val="32"/>
          <w:szCs w:val="32"/>
          <w:rFonts w:ascii="仿宋_GB2312" w:eastAsia="仿宋_GB2312" w:hAnsi="仿宋_GB2312" w:hint="default"/>
        </w:rPr>
        <w:t>。重点做好以下几方面工作：</w:t>
      </w:r>
    </w:p>
    <w:p>
      <w:pPr>
        <w:numPr>
          <w:ilvl w:val="0"/>
          <w:numId w:val="0"/>
        </w:numPr>
        <w:jc w:val="both"/>
        <w:spacing w:lineRule="exact" w:line="600" w:before="0" w:after="0"/>
        <w:ind w:right="0" w:firstLine="648"/>
        <w:rPr>
          <w:spacing w:val="4"/>
          <w:color w:val="auto"/>
          <w:position w:val="0"/>
          <w:sz w:val="32"/>
          <w:szCs w:val="32"/>
          <w:rFonts w:ascii="黑体" w:eastAsia="黑体" w:hAnsi="黑体" w:hint="default"/>
        </w:rPr>
        <w:autoSpaceDE w:val="1"/>
        <w:autoSpaceDN w:val="1"/>
      </w:pPr>
      <w:r>
        <w:rPr>
          <w:spacing w:val="4"/>
          <w:color w:val="auto"/>
          <w:position w:val="0"/>
          <w:sz w:val="32"/>
          <w:szCs w:val="32"/>
          <w:rFonts w:ascii="黑体" w:eastAsia="黑体" w:hAnsi="黑体" w:hint="default"/>
        </w:rPr>
        <w:t>一、着力加强协会自身建设，增强协会凝聚力</w:t>
      </w:r>
    </w:p>
    <w:p>
      <w:pPr>
        <w:numPr>
          <w:ilvl w:val="0"/>
          <w:numId w:val="0"/>
        </w:numPr>
        <w:jc w:val="both"/>
        <w:spacing w:lineRule="exact" w:line="600" w:before="0" w:after="0"/>
        <w:ind w:right="0" w:firstLine="650"/>
        <w:rPr>
          <w:spacing w:val="4"/>
          <w:color w:val="auto"/>
          <w:position w:val="0"/>
          <w:sz w:val="32"/>
          <w:szCs w:val="32"/>
          <w:rFonts w:ascii="仿宋_GB2312" w:eastAsia="仿宋_GB2312" w:hAnsi="仿宋_GB2312" w:hint="default"/>
        </w:rPr>
        <w:autoSpaceDE w:val="1"/>
        <w:autoSpaceDN w:val="1"/>
      </w:pPr>
      <w:r>
        <w:rPr>
          <w:spacing w:val="4"/>
          <w:b w:val="1"/>
          <w:color w:val="auto"/>
          <w:position w:val="0"/>
          <w:sz w:val="32"/>
          <w:szCs w:val="32"/>
          <w:rFonts w:ascii="仿宋_GB2312" w:eastAsia="仿宋_GB2312" w:hAnsi="仿宋_GB2312" w:hint="default"/>
        </w:rPr>
        <w:t>1.全力以赴做好全国性（商会）协会评估工作。</w:t>
      </w:r>
      <w:r>
        <w:rPr>
          <w:spacing w:val="4"/>
          <w:color w:val="auto"/>
          <w:position w:val="0"/>
          <w:sz w:val="32"/>
          <w:szCs w:val="32"/>
          <w:rFonts w:ascii="仿宋_GB2312" w:eastAsia="仿宋_GB2312" w:hAnsi="仿宋_GB2312" w:hint="default"/>
        </w:rPr>
        <w:t>2013</w:t>
      </w:r>
      <w:r>
        <w:rPr>
          <w:spacing w:val="4"/>
          <w:color w:val="auto"/>
          <w:position w:val="0"/>
          <w:sz w:val="32"/>
          <w:szCs w:val="32"/>
          <w:rFonts w:ascii="仿宋_GB2312" w:eastAsia="仿宋_GB2312" w:hAnsi="仿宋_GB2312" w:hint="default"/>
        </w:rPr>
        <w:t>年，协会荣获民政部授予的5A级社会组织称号。今年到期</w:t>
      </w:r>
      <w:r>
        <w:rPr>
          <w:spacing w:val="4"/>
          <w:color w:val="auto"/>
          <w:position w:val="0"/>
          <w:sz w:val="32"/>
          <w:szCs w:val="32"/>
          <w:rFonts w:ascii="仿宋_GB2312" w:eastAsia="仿宋_GB2312" w:hAnsi="仿宋_GB2312" w:hint="default"/>
        </w:rPr>
        <w:t>将重新参评。协会提前准备，合理分工，对照评估要求，分</w:t>
      </w:r>
      <w:r>
        <w:rPr>
          <w:spacing w:val="4"/>
          <w:color w:val="auto"/>
          <w:position w:val="0"/>
          <w:sz w:val="32"/>
          <w:szCs w:val="32"/>
          <w:rFonts w:ascii="仿宋_GB2312" w:eastAsia="仿宋_GB2312" w:hAnsi="仿宋_GB2312" w:hint="default"/>
        </w:rPr>
        <w:t>门别类准备各项材料。</w:t>
      </w:r>
    </w:p>
    <w:p>
      <w:pPr>
        <w:numPr>
          <w:ilvl w:val="0"/>
          <w:numId w:val="0"/>
        </w:numPr>
        <w:jc w:val="both"/>
        <w:spacing w:lineRule="exact" w:line="560" w:before="0" w:after="0"/>
        <w:ind w:right="0" w:firstLine="643"/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autoSpaceDE w:val="1"/>
        <w:autoSpaceDN w:val="1"/>
      </w:pPr>
      <w:r>
        <w:rPr>
          <w:b w:val="1"/>
          <w:color w:val="auto"/>
          <w:position w:val="0"/>
          <w:sz w:val="32"/>
          <w:szCs w:val="32"/>
          <w:rFonts w:ascii="仿宋_GB2312" w:eastAsia="仿宋_GB2312" w:hAnsi="仿宋_GB2312" w:hint="default"/>
        </w:rPr>
        <w:t>2.全面提升各分会的建设水平。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根据新的业态和产业发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展状况设立新的分会组织，调整和完善原有分会的定位和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功能。适时成立主食品加工分会</w:t>
      </w:r>
      <w:r>
        <w:rPr>
          <w:color w:val="auto"/>
          <w:position w:val="0"/>
          <w:sz w:val="32"/>
          <w:szCs w:val="32"/>
          <w:rFonts w:ascii="楷体_GB2312" w:eastAsia="楷体_GB2312" w:hAnsi="楷体_GB2312" w:hint="default"/>
        </w:rPr>
        <w:t>（安徽主食加工产业科技创</w:t>
      </w:r>
      <w:r>
        <w:rPr>
          <w:color w:val="auto"/>
          <w:position w:val="0"/>
          <w:sz w:val="32"/>
          <w:szCs w:val="32"/>
          <w:rFonts w:ascii="楷体_GB2312" w:eastAsia="楷体_GB2312" w:hAnsi="楷体_GB2312" w:hint="default"/>
        </w:rPr>
        <w:t>新战略联盟）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，扩大和加强对主食品加工企业的联系和服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务。全面加强对大米、面粉、粮机分会的管理和指导，按照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协会年度整体要求开展工作，充分发挥大品种分会在相关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领域内的影响力。</w:t>
      </w:r>
    </w:p>
    <w:p>
      <w:pPr>
        <w:numPr>
          <w:ilvl w:val="0"/>
          <w:numId w:val="0"/>
        </w:numPr>
        <w:jc w:val="both"/>
        <w:spacing w:lineRule="exact" w:line="560" w:before="0" w:after="0"/>
        <w:ind w:right="0" w:firstLine="648"/>
        <w:rPr>
          <w:spacing w:val="4"/>
          <w:color w:val="auto"/>
          <w:position w:val="0"/>
          <w:sz w:val="32"/>
          <w:szCs w:val="32"/>
          <w:rFonts w:ascii="黑体" w:eastAsia="黑体" w:hAnsi="黑体" w:hint="default"/>
        </w:rPr>
        <w:autoSpaceDE w:val="1"/>
        <w:autoSpaceDN w:val="1"/>
      </w:pPr>
      <w:r>
        <w:rPr>
          <w:spacing w:val="4"/>
          <w:color w:val="auto"/>
          <w:position w:val="0"/>
          <w:sz w:val="32"/>
          <w:szCs w:val="32"/>
          <w:rFonts w:ascii="黑体" w:eastAsia="黑体" w:hAnsi="黑体" w:hint="default"/>
        </w:rPr>
        <w:t>二、全面加强党的建设，确保协会发展方向</w:t>
      </w:r>
    </w:p>
    <w:p>
      <w:pPr>
        <w:numPr>
          <w:ilvl w:val="0"/>
          <w:numId w:val="0"/>
        </w:numPr>
        <w:jc w:val="both"/>
        <w:spacing w:lineRule="exact" w:line="560" w:before="0" w:after="0"/>
        <w:ind w:right="0" w:firstLine="643"/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autoSpaceDE w:val="1"/>
        <w:autoSpaceDN w:val="1"/>
      </w:pPr>
      <w:r>
        <w:rPr>
          <w:b w:val="1"/>
          <w:color w:val="auto"/>
          <w:position w:val="0"/>
          <w:sz w:val="32"/>
          <w:szCs w:val="32"/>
          <w:rFonts w:ascii="仿宋_GB2312" w:eastAsia="仿宋_GB2312" w:hAnsi="仿宋_GB2312" w:hint="default"/>
        </w:rPr>
        <w:t>3.把党的领导贯穿于协会各项工作始终。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全面加强党的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领导和党的建设，高举习近平新时代中国特色社会主义思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想伟大旗帜，把贯彻落实新时代中国特色社会主义基本理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论、基本路线、基本方略融入协会的各项工作之中，确保党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的路线方针政策在协会中落到实处，取得实效。</w:t>
      </w:r>
    </w:p>
    <w:p>
      <w:pPr>
        <w:numPr>
          <w:ilvl w:val="0"/>
          <w:numId w:val="0"/>
        </w:numPr>
        <w:jc w:val="both"/>
        <w:spacing w:lineRule="exact" w:line="560" w:before="0" w:after="0"/>
        <w:ind w:right="0" w:firstLine="643"/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autoSpaceDE w:val="1"/>
        <w:autoSpaceDN w:val="1"/>
      </w:pPr>
      <w:r>
        <w:rPr>
          <w:b w:val="1"/>
          <w:color w:val="auto"/>
          <w:position w:val="0"/>
          <w:sz w:val="32"/>
          <w:szCs w:val="32"/>
          <w:rFonts w:ascii="仿宋_GB2312" w:eastAsia="仿宋_GB2312" w:hAnsi="仿宋_GB2312" w:hint="default"/>
        </w:rPr>
        <w:t>4.全面加强协会党组织建设。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充分发挥安徽省粮食行业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协会党支部在协会发展过程中的先锋队作用，激发党员干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事创业的热情，发挥模范带头作用，营造积极向上、风清气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正的工作氛围。</w:t>
      </w:r>
    </w:p>
    <w:p>
      <w:pPr>
        <w:numPr>
          <w:ilvl w:val="0"/>
          <w:numId w:val="0"/>
        </w:numPr>
        <w:jc w:val="both"/>
        <w:spacing w:lineRule="exact" w:line="560" w:before="0" w:after="0"/>
        <w:ind w:right="0" w:firstLine="648"/>
        <w:rPr>
          <w:spacing w:val="4"/>
          <w:color w:val="auto"/>
          <w:position w:val="0"/>
          <w:sz w:val="32"/>
          <w:szCs w:val="32"/>
          <w:rFonts w:ascii="黑体" w:eastAsia="黑体" w:hAnsi="黑体" w:hint="default"/>
        </w:rPr>
        <w:autoSpaceDE w:val="1"/>
        <w:autoSpaceDN w:val="1"/>
      </w:pPr>
      <w:r>
        <w:rPr>
          <w:spacing w:val="4"/>
          <w:color w:val="auto"/>
          <w:position w:val="0"/>
          <w:sz w:val="32"/>
          <w:szCs w:val="32"/>
          <w:rFonts w:ascii="黑体" w:eastAsia="黑体" w:hAnsi="黑体" w:hint="default"/>
        </w:rPr>
        <w:t>三、着力加强放心粮油工程建设，确保主食消费安全</w:t>
      </w:r>
    </w:p>
    <w:p>
      <w:pPr>
        <w:numPr>
          <w:ilvl w:val="0"/>
          <w:numId w:val="0"/>
        </w:numPr>
        <w:jc w:val="both"/>
        <w:spacing w:lineRule="exact" w:line="560" w:before="0" w:after="0"/>
        <w:ind w:right="0" w:firstLine="650"/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autoSpaceDE w:val="1"/>
        <w:autoSpaceDN w:val="1"/>
      </w:pPr>
      <w:r>
        <w:rPr>
          <w:spacing w:val="4"/>
          <w:b w:val="1"/>
          <w:color w:val="auto"/>
          <w:position w:val="0"/>
          <w:sz w:val="32"/>
          <w:szCs w:val="32"/>
          <w:rFonts w:ascii="黑体" w:eastAsia="黑体" w:hAnsi="黑体" w:hint="default"/>
        </w:rPr>
        <w:t>5.</w:t>
      </w:r>
      <w:r>
        <w:rPr>
          <w:b w:val="1"/>
          <w:color w:val="auto"/>
          <w:position w:val="0"/>
          <w:sz w:val="32"/>
          <w:szCs w:val="32"/>
          <w:rFonts w:ascii="仿宋_GB2312" w:eastAsia="仿宋_GB2312" w:hAnsi="仿宋_GB2312" w:hint="default"/>
        </w:rPr>
        <w:t xml:space="preserve"> 做好放心粮油评审和年审工作。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开展安徽省第七批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放心粮油示范加工企业评审工作，做好前几批次放心粮油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示范企业年审和复评工作，会同各市粮食行业协会，对放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心粮油示范企业产品进行不定期的抽查检测，加大监管力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度。</w:t>
      </w:r>
    </w:p>
    <w:p>
      <w:pPr>
        <w:numPr>
          <w:ilvl w:val="0"/>
          <w:numId w:val="0"/>
        </w:numPr>
        <w:jc w:val="both"/>
        <w:spacing w:lineRule="exact" w:line="560" w:before="0" w:after="0"/>
        <w:ind w:right="0" w:firstLine="643"/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autoSpaceDE w:val="1"/>
        <w:autoSpaceDN w:val="1"/>
      </w:pPr>
      <w:r>
        <w:rPr>
          <w:b w:val="1"/>
          <w:color w:val="auto"/>
          <w:position w:val="0"/>
          <w:sz w:val="32"/>
          <w:szCs w:val="32"/>
          <w:rFonts w:ascii="仿宋_GB2312" w:eastAsia="仿宋_GB2312" w:hAnsi="仿宋_GB2312" w:hint="default"/>
        </w:rPr>
        <w:t>6.做好放心粮油宣传工作。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积极组织企业参加我省食品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安全宣传周、世界粮食日、爱粮节粮宣传周等活动，配合省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局办好“放心粮油宣传日”活动。</w:t>
      </w:r>
    </w:p>
    <w:p>
      <w:pPr>
        <w:numPr>
          <w:ilvl w:val="0"/>
          <w:numId w:val="0"/>
        </w:numPr>
        <w:jc w:val="both"/>
        <w:spacing w:lineRule="exact" w:line="560" w:before="0" w:after="0"/>
        <w:ind w:right="0" w:firstLine="643"/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autoSpaceDE w:val="1"/>
        <w:autoSpaceDN w:val="1"/>
      </w:pPr>
      <w:r>
        <w:rPr>
          <w:b w:val="1"/>
          <w:color w:val="auto"/>
          <w:position w:val="0"/>
          <w:sz w:val="32"/>
          <w:szCs w:val="32"/>
          <w:rFonts w:ascii="仿宋_GB2312" w:eastAsia="仿宋_GB2312" w:hAnsi="仿宋_GB2312" w:hint="default"/>
        </w:rPr>
        <w:t>7.协助中粮协做好全国放心粮油评审和年审工作。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协助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中国粮食行业协会做好第一、二、三、五批全国放心粮油示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范企业年审工作和第七批放心粮油的申报工作，全国第四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批放心粮油示范企业复评工作。</w:t>
      </w:r>
    </w:p>
    <w:p>
      <w:pPr>
        <w:numPr>
          <w:ilvl w:val="0"/>
          <w:numId w:val="0"/>
        </w:numPr>
        <w:jc w:val="both"/>
        <w:spacing w:lineRule="exact" w:line="600" w:before="0" w:after="0"/>
        <w:ind w:right="0" w:firstLine="640"/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autoSpaceDE w:val="1"/>
        <w:autoSpaceDN w:val="1"/>
      </w:pP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 xml:space="preserve">8. 配合中国粮食行业协会做好首批全国放心粮油示范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仓储（物流）企业认定工作；配合做好信用评价试点企业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年审、复评工作。</w:t>
      </w:r>
    </w:p>
    <w:p>
      <w:pPr>
        <w:numPr>
          <w:ilvl w:val="0"/>
          <w:numId w:val="0"/>
        </w:numPr>
        <w:jc w:val="both"/>
        <w:spacing w:lineRule="exact" w:line="560" w:before="0" w:after="0"/>
        <w:ind w:right="0" w:firstLine="648"/>
        <w:rPr>
          <w:spacing w:val="4"/>
          <w:color w:val="auto"/>
          <w:position w:val="0"/>
          <w:sz w:val="32"/>
          <w:szCs w:val="32"/>
          <w:rFonts w:ascii="黑体" w:eastAsia="黑体" w:hAnsi="黑体" w:hint="default"/>
        </w:rPr>
        <w:autoSpaceDE w:val="1"/>
        <w:autoSpaceDN w:val="1"/>
      </w:pPr>
      <w:r>
        <w:rPr>
          <w:spacing w:val="4"/>
          <w:color w:val="auto"/>
          <w:position w:val="0"/>
          <w:sz w:val="32"/>
          <w:szCs w:val="32"/>
          <w:rFonts w:ascii="黑体" w:eastAsia="黑体" w:hAnsi="黑体" w:hint="default"/>
        </w:rPr>
        <w:t>三、着力加强调查研究，力争品牌建设再有新突破</w:t>
      </w:r>
    </w:p>
    <w:p>
      <w:pPr>
        <w:numPr>
          <w:ilvl w:val="0"/>
          <w:numId w:val="0"/>
        </w:numPr>
        <w:jc w:val="both"/>
        <w:spacing w:lineRule="exact" w:line="560" w:before="0" w:after="0"/>
        <w:ind w:right="0" w:firstLine="640"/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autoSpaceDE w:val="1"/>
        <w:autoSpaceDN w:val="1"/>
      </w:pP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9.继续组织对全省重点粮油加工企业进行专项调查；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推荐我省符合条件企业参加全国粮油企业“50强”、“10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强”企业评审，争取我省企业在全国排名中占更多的份额。</w:t>
      </w:r>
    </w:p>
    <w:p>
      <w:pPr>
        <w:numPr>
          <w:ilvl w:val="0"/>
          <w:numId w:val="0"/>
        </w:numPr>
        <w:jc w:val="both"/>
        <w:spacing w:lineRule="exact" w:line="500" w:before="0" w:after="0"/>
        <w:ind w:right="0" w:firstLine="640"/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autoSpaceDE w:val="1"/>
        <w:autoSpaceDN w:val="1"/>
      </w:pP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10.</w:t>
      </w:r>
      <w:r>
        <w:rPr>
          <w:color w:val="auto"/>
          <w:position w:val="0"/>
          <w:sz w:val="28"/>
          <w:szCs w:val="28"/>
          <w:rFonts w:ascii="仿宋_GB2312" w:eastAsia="仿宋_GB2312" w:hAnsi="仿宋_GB2312" w:hint="default"/>
        </w:rPr>
        <w:t xml:space="preserve"> 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引导企业争创名牌,做好有关认证和知名品牌推荐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工作，特别是著名商标和安徽名牌的推荐；推荐符合条件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的企业申报地理标志和中国驰名商标，提高企业知名度、提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升企业影响力。</w:t>
      </w:r>
    </w:p>
    <w:p>
      <w:pPr>
        <w:numPr>
          <w:ilvl w:val="0"/>
          <w:numId w:val="0"/>
        </w:numPr>
        <w:jc w:val="both"/>
        <w:spacing w:lineRule="exact" w:line="500" w:before="0" w:after="0"/>
        <w:ind w:right="0" w:firstLine="648"/>
        <w:rPr>
          <w:spacing w:val="4"/>
          <w:color w:val="auto"/>
          <w:position w:val="0"/>
          <w:sz w:val="32"/>
          <w:szCs w:val="32"/>
          <w:rFonts w:ascii="黑体" w:eastAsia="黑体" w:hAnsi="黑体" w:hint="default"/>
        </w:rPr>
        <w:autoSpaceDE w:val="1"/>
        <w:autoSpaceDN w:val="1"/>
      </w:pPr>
      <w:r>
        <w:rPr>
          <w:spacing w:val="4"/>
          <w:color w:val="auto"/>
          <w:position w:val="0"/>
          <w:sz w:val="32"/>
          <w:szCs w:val="32"/>
          <w:rFonts w:ascii="黑体" w:eastAsia="黑体" w:hAnsi="黑体" w:hint="default"/>
        </w:rPr>
        <w:t>四、着力加强和提升会员服务的水平和质量</w:t>
      </w:r>
    </w:p>
    <w:p>
      <w:pPr>
        <w:numPr>
          <w:ilvl w:val="0"/>
          <w:numId w:val="0"/>
        </w:numPr>
        <w:jc w:val="both"/>
        <w:spacing w:lineRule="exact" w:line="500" w:before="0" w:after="0"/>
        <w:ind w:right="0" w:firstLine="648"/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autoSpaceDE w:val="1"/>
        <w:autoSpaceDN w:val="1"/>
      </w:pPr>
      <w:r>
        <w:rPr>
          <w:spacing w:val="4"/>
          <w:color w:val="auto"/>
          <w:position w:val="0"/>
          <w:sz w:val="32"/>
          <w:szCs w:val="32"/>
          <w:rFonts w:ascii="黑体" w:eastAsia="黑体" w:hAnsi="黑体" w:hint="default"/>
        </w:rPr>
        <w:t>11.</w:t>
      </w:r>
      <w:r>
        <w:rPr>
          <w:b w:val="1"/>
          <w:color w:val="auto"/>
          <w:position w:val="0"/>
          <w:sz w:val="32"/>
          <w:szCs w:val="32"/>
          <w:rFonts w:ascii="仿宋_GB2312" w:eastAsia="仿宋_GB2312" w:hAnsi="仿宋_GB2312" w:hint="default"/>
        </w:rPr>
        <w:t xml:space="preserve"> 积极搭建平台，促进行业内交流。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举办大米、面粉、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油脂、粮机专业活动，以五会形式适时召开不同的主题活动。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组织参加制米技师、制粉技师、高级制粉工、经纪人等职业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技能培训工作，培养粮食行业高技能人才。</w:t>
      </w:r>
    </w:p>
    <w:p>
      <w:pPr>
        <w:numPr>
          <w:ilvl w:val="0"/>
          <w:numId w:val="0"/>
        </w:numPr>
        <w:jc w:val="both"/>
        <w:spacing w:lineRule="exact" w:line="500" w:before="0" w:after="0"/>
        <w:ind w:right="0" w:firstLine="640"/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autoSpaceDE w:val="1"/>
        <w:autoSpaceDN w:val="1"/>
      </w:pP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充分利用安徽粮食行业网和微信公众号平台，及时反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映粮食方针、政策、发展动态和协会工作动态，宣传会员企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业，扩大协会影响。</w:t>
      </w:r>
    </w:p>
    <w:p>
      <w:pPr>
        <w:numPr>
          <w:ilvl w:val="0"/>
          <w:numId w:val="0"/>
        </w:numPr>
        <w:jc w:val="both"/>
        <w:spacing w:lineRule="exact" w:line="500" w:before="0" w:after="0"/>
        <w:ind w:right="0" w:firstLine="648"/>
        <w:rPr>
          <w:spacing w:val="4"/>
          <w:color w:val="auto"/>
          <w:position w:val="0"/>
          <w:sz w:val="32"/>
          <w:szCs w:val="32"/>
          <w:rFonts w:ascii="黑体" w:eastAsia="黑体" w:hAnsi="黑体" w:hint="default"/>
        </w:rPr>
        <w:autoSpaceDE w:val="1"/>
        <w:autoSpaceDN w:val="1"/>
      </w:pPr>
      <w:r>
        <w:rPr>
          <w:spacing w:val="4"/>
          <w:color w:val="auto"/>
          <w:position w:val="0"/>
          <w:sz w:val="32"/>
          <w:szCs w:val="32"/>
          <w:rFonts w:ascii="黑体" w:eastAsia="黑体" w:hAnsi="黑体" w:hint="default"/>
        </w:rPr>
        <w:t>五、着力加强沟通协调，拓展对外交流合作</w:t>
      </w:r>
    </w:p>
    <w:p>
      <w:pPr>
        <w:numPr>
          <w:ilvl w:val="0"/>
          <w:numId w:val="0"/>
        </w:numPr>
        <w:jc w:val="both"/>
        <w:spacing w:lineRule="exact" w:line="500" w:before="0" w:after="0"/>
        <w:ind w:right="0" w:firstLine="648"/>
        <w:rPr>
          <w:spacing w:val="4"/>
          <w:color w:val="auto"/>
          <w:position w:val="0"/>
          <w:sz w:val="32"/>
          <w:szCs w:val="32"/>
          <w:rFonts w:ascii="黑体" w:eastAsia="黑体" w:hAnsi="黑体" w:hint="default"/>
        </w:rPr>
        <w:autoSpaceDE w:val="1"/>
        <w:autoSpaceDN w:val="1"/>
      </w:pPr>
      <w:r>
        <w:rPr>
          <w:spacing w:val="4"/>
          <w:color w:val="auto"/>
          <w:position w:val="0"/>
          <w:sz w:val="32"/>
          <w:szCs w:val="32"/>
          <w:rFonts w:ascii="黑体" w:eastAsia="黑体" w:hAnsi="黑体" w:hint="default"/>
        </w:rPr>
        <w:t>12.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 xml:space="preserve"> 及时了解“一带一路”和农产品出口国的投资和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 xml:space="preserve">贸易政策，以 “一带一路”建设为契机，进一步推动我省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粮油企业与“一带一路”沿线国家的经贸往来，探索我省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粮油企业与东南亚、中亚诸国、海峡两岸等进行经贸合作及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技术交流，拓展“走出去”的新路径。</w:t>
      </w:r>
    </w:p>
    <w:p>
      <w:pPr>
        <w:numPr>
          <w:ilvl w:val="0"/>
          <w:numId w:val="0"/>
        </w:numPr>
        <w:jc w:val="both"/>
        <w:spacing w:lineRule="exact" w:line="560" w:before="0" w:after="0"/>
        <w:ind w:right="0" w:firstLine="640"/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autoSpaceDE w:val="1"/>
        <w:autoSpaceDN w:val="1"/>
      </w:pP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协助中国粮食行业协会办好第十六届中国国际粮油产</w:t>
      </w:r>
      <w:r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t>品暨技术设备展览会。</w:t>
      </w:r>
    </w:p>
    <w:p>
      <w:pPr>
        <w:numPr>
          <w:ilvl w:val="0"/>
          <w:numId w:val="0"/>
        </w:numPr>
        <w:jc w:val="both"/>
        <w:spacing w:lineRule="exact" w:line="600" w:before="0" w:after="0"/>
        <w:ind w:right="0" w:firstLine="640"/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autoSpaceDE w:val="1"/>
        <w:autoSpaceDN w:val="1"/>
      </w:pPr>
    </w:p>
    <w:p>
      <w:pPr>
        <w:numPr>
          <w:ilvl w:val="0"/>
          <w:numId w:val="0"/>
        </w:numPr>
        <w:jc w:val="both"/>
        <w:spacing w:lineRule="exact" w:line="560" w:before="0" w:after="0"/>
        <w:ind w:right="0" w:firstLine="650"/>
        <w:rPr>
          <w:spacing w:val="4"/>
          <w:b w:val="1"/>
          <w:color w:val="auto"/>
          <w:position w:val="0"/>
          <w:sz w:val="32"/>
          <w:szCs w:val="32"/>
          <w:rFonts w:ascii="黑体" w:eastAsia="黑体" w:hAnsi="黑体" w:hint="default"/>
        </w:rPr>
        <w:autoSpaceDE w:val="1"/>
        <w:autoSpaceDN w:val="1"/>
      </w:pPr>
    </w:p>
    <w:p>
      <w:pPr>
        <w:numPr>
          <w:ilvl w:val="0"/>
          <w:numId w:val="0"/>
        </w:numPr>
        <w:jc w:val="both"/>
        <w:spacing w:lineRule="exact" w:line="560" w:before="0" w:after="0"/>
        <w:ind w:right="0" w:firstLine="640"/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autoSpaceDE w:val="1"/>
        <w:autoSpaceDN w:val="1"/>
      </w:pPr>
    </w:p>
    <w:p>
      <w:pPr>
        <w:numPr>
          <w:ilvl w:val="0"/>
          <w:numId w:val="0"/>
        </w:numPr>
        <w:jc w:val="both"/>
        <w:spacing w:lineRule="exact" w:line="560" w:before="0" w:after="0"/>
        <w:ind w:right="0" w:firstLine="640"/>
        <w:rPr>
          <w:color w:val="auto"/>
          <w:position w:val="0"/>
          <w:sz w:val="32"/>
          <w:szCs w:val="32"/>
          <w:rFonts w:ascii="仿宋_GB2312" w:eastAsia="仿宋_GB2312" w:hAnsi="仿宋_GB2312" w:hint="default"/>
        </w:rPr>
        <w:autoSpaceDE w:val="1"/>
        <w:autoSpaceDN w:val="1"/>
      </w:pPr>
    </w:p>
    <w:p>
      <w:pPr>
        <w:numPr>
          <w:ilvl w:val="0"/>
          <w:numId w:val="0"/>
        </w:numPr>
        <w:jc w:val="both"/>
        <w:spacing w:lineRule="atLeast" w:line="220" w:before="0" w:after="0"/>
        <w:ind w:right="0" w:firstLine="619"/>
        <w:rPr>
          <w:color w:val="auto"/>
          <w:position w:val="0"/>
          <w:sz w:val="28"/>
          <w:szCs w:val="28"/>
          <w:rFonts w:ascii="Calibri" w:eastAsia="宋体" w:hAnsi="宋体" w:hint="default"/>
        </w:rPr>
        <w:autoSpaceDE w:val="1"/>
        <w:autoSpaceDN w:val="1"/>
      </w:pPr>
    </w:p>
    <w:sectPr>
      <w:footerReference w:type="default" r:id="rId5"/>
      <w:pgSz w:w="11906" w:h="16838"/>
      <w:pgMar w:top="1440" w:left="1800" w:bottom="1440" w:right="1800" w:header="708" w:footer="708" w:gutter="0"/>
      <w:pgNumType w:fmt="decimal"/>
      <w:docGrid w:type="default" w:linePitch="360" w:charSpace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宋体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Calibri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Wingdings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Times New Roman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微软雅黑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楷体_GB2312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方正小标宋_GBK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仿宋_GB2312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仿宋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黑体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맑은 고딕">
    <w:panose1 w:val="020F0502020204030204"/>
    <w:charset w:val="0"/>
    <w:family w:val="mordern"/>
    <w:pitch w:val="variable"/>
    <w:sig w:usb0="A00002EF" w:usb1="4000207B" w:usb2="00000000" w:usb3="00000000" w:csb0="FFFFFFFF" w:csb1="00000000"/>
  </w:font>
</w:fonts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="http://schemas.openxmlformats.org/wordprocessingml/2006/main" xmlns:wpg="http://schemas.microsoft.com/office/word/2010/wordprocessingGroup" xmlns:wne="http://schemas.microsoft.com/office/word/2006/wordml" xmlns:wps="http://schemas.microsoft.com/office/word/2010/wordprocessingShape" xmlns:wpc="http://schemas.microsoft.com/office/word/2010/wordprocessingCanvas" xmlns:mc="http://schemas.openxmlformats.org/markup-compatibility/2006" xmlns:w14="http://schemas.microsoft.com/office/word/2010/wordml" xmlns:wpi="http://schemas.microsoft.com/office/word/2010/wordprocessingInk">
  <w:p>
    <w:pPr>
      <w:pStyle w:val="PO154"/>
      <w:numPr>
        <w:ilvl w:val="0"/>
        <w:numId w:val="0"/>
      </w:numPr>
      <w:jc w:val="center"/>
      <w:spacing w:lineRule="auto" w:line="240" w:before="0" w:after="0"/>
      <w:ind w:right="0" w:firstLine="0"/>
      <w:tabs>
        <w:tab w:val="center" w:pos="4153"/>
        <w:tab w:val="right" w:pos="8306"/>
      </w:tabs>
      <w:rPr>
        <w:color w:val="auto"/>
        <w:position w:val="0"/>
        <w:sz w:val="18"/>
        <w:szCs w:val="18"/>
        <w:rFonts w:ascii="Calibri" w:eastAsia="宋体" w:hAnsi="宋体" w:hint="default"/>
      </w:rPr>
      <w:snapToGrid w:val="off"/>
      <w:autoSpaceDE w:val="1"/>
      <w:autoSpaceDN w:val="1"/>
    </w:pPr>
    <w:r>
      <w:rPr>
        <w:color w:val="auto"/>
        <w:position w:val="0"/>
        <w:sz w:val="18"/>
        <w:szCs w:val="18"/>
        <w:rFonts w:ascii="Calibri" w:eastAsia="宋体" w:hAnsi="宋体" w:hint="default"/>
      </w:rPr>
      <w:t xml:space="preserve"> </w:t>
    </w:r>
    <w:r>
      <w:rPr>
        <w:b w:val="1"/>
        <w:color w:val="auto"/>
        <w:position w:val="0"/>
        <w:sz w:val="18"/>
        <w:szCs w:val="18"/>
        <w:rFonts w:ascii="Calibri" w:eastAsia="宋体" w:hAnsi="宋体" w:hint="default"/>
      </w:rPr>
      <w:fldChar w:fldCharType="begin"/>
    </w:r>
    <w:r>
      <w:instrText>PAGE  \* MERGEFORMAT</w:instrText>
    </w:r>
    <w:r>
      <w:fldChar w:fldCharType="separate"/>
    </w:r>
    <w:r>
      <w:rPr>
        <w:b w:val="1"/>
        <w:color w:val="auto"/>
        <w:position w:val="0"/>
        <w:sz w:val="18"/>
        <w:szCs w:val="18"/>
        <w:rFonts w:ascii="Calibri" w:eastAsia="宋体" w:hAnsi="宋体" w:hint="default"/>
      </w:rPr>
      <w:t>1</w:t>
    </w:r>
    <w:r>
      <w:rPr>
        <w:b w:val="1"/>
        <w:color w:val="auto"/>
        <w:position w:val="0"/>
        <w:sz w:val="24"/>
        <w:szCs w:val="24"/>
        <w:rFonts w:ascii="Calibri" w:eastAsia="宋体" w:hAnsi="宋体" w:hint="default"/>
      </w:rPr>
      <w:fldChar w:fldCharType="end"/>
    </w:r>
    <w:r>
      <w:rPr>
        <w:color w:val="auto"/>
        <w:position w:val="0"/>
        <w:sz w:val="18"/>
        <w:szCs w:val="18"/>
        <w:rFonts w:ascii="Calibri" w:eastAsia="宋体" w:hAnsi="宋体" w:hint="default"/>
      </w:rPr>
      <w:t xml:space="preserve"> / </w:t>
    </w:r>
    <w:r>
      <w:rPr>
        <w:b w:val="1"/>
        <w:color w:val="auto"/>
        <w:position w:val="0"/>
        <w:sz w:val="18"/>
        <w:szCs w:val="18"/>
        <w:rFonts w:ascii="Calibri" w:eastAsia="宋体" w:hAnsi="宋体" w:hint="default"/>
      </w:rPr>
      <w:fldChar w:fldCharType="begin"/>
    </w:r>
    <w:r>
      <w:instrText>NUMPAGES  \* MERGEFORMAT</w:instrText>
    </w:r>
    <w:r>
      <w:fldChar w:fldCharType="separate"/>
    </w:r>
    <w:r>
      <w:rPr>
        <w:b w:val="1"/>
        <w:color w:val="auto"/>
        <w:position w:val="0"/>
        <w:sz w:val="18"/>
        <w:szCs w:val="18"/>
        <w:rFonts w:ascii="Calibri" w:eastAsia="宋体" w:hAnsi="宋体" w:hint="default"/>
      </w:rPr>
      <w:t>4</w:t>
    </w:r>
    <w:r>
      <w:rPr>
        <w:b w:val="1"/>
        <w:color w:val="auto"/>
        <w:position w:val="0"/>
        <w:sz w:val="24"/>
        <w:szCs w:val="24"/>
        <w:rFonts w:ascii="Calibri" w:eastAsia="宋体" w:hAnsi="宋体" w:hint="default"/>
      </w:rPr>
      <w:fldChar w:fldCharType="end"/>
    </w:r>
  </w:p>
  <w:p>
    <w:pPr>
      <w:pStyle w:val="PO154"/>
      <w:numPr>
        <w:ilvl w:val="0"/>
        <w:numId w:val="0"/>
      </w:numPr>
      <w:jc w:val="left"/>
      <w:spacing w:lineRule="auto" w:line="240" w:before="0" w:after="0"/>
      <w:ind w:right="0" w:firstLine="0"/>
      <w:tabs>
        <w:tab w:val="center" w:pos="4153"/>
        <w:tab w:val="right" w:pos="8306"/>
      </w:tabs>
      <w:rPr>
        <w:color w:val="auto"/>
        <w:position w:val="0"/>
        <w:sz w:val="18"/>
        <w:szCs w:val="18"/>
        <w:rFonts w:ascii="Calibri" w:eastAsia="宋体" w:hAnsi="宋体" w:hint="default"/>
      </w:rPr>
      <w:snapToGrid w:val="off"/>
      <w:autoSpaceDE w:val="1"/>
      <w:autoSpaceDN w:val="1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avePreviewPicture/>
  <w:proofState w:spelling="clean" w:grammar="clean"/>
  <w:defaultTabStop w:val="720"/>
  <w:displayHorizontalDrawingGridEvery w:val="0"/>
  <w:displayVerticalDrawingGridEvery w:val="2"/>
  <w:noPunctuationKerning/>
  <w:characterSpacingControl w:val="doNotCompress"/>
  <w:bordersDoNotSurroundHeader/>
  <w:compat>
    <w:useFELayout/>
    <w:compatSetting w:name="compatibilityMode" w:uri="http://schemas.microsoft.com/office/word" w:val="15"/>
  </w:compat>
  <m:mathPr>
    <m:mathFont m:value="Cambria Math"/>
    <m:brkBin m:value="before"/>
    <m:brkBinSub m:value="--"/>
    <m:smallFrac m:value="off"/>
    <m:dispDef/>
    <m:lMargin m:value="0"/>
    <m:rMargin m:value="0"/>
    <m:defJc m:value="centerGroup"/>
    <m:wrapIndent m:value="1440"/>
    <m:intLim m:value="subSup"/>
    <m:naryLim m:value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docDefaults>
    <w:pPrDefault>
      <w:pPr>
        <w:autoSpaceDE w:val="1"/>
        <w:autoSpaceDN w:val="1"/>
        <w:widowControl/>
        <w:wordWrap/>
      </w:pPr>
    </w:pPrDefault>
    <w:rPrDefault>
      <w:rPr>
        <w:rFonts w:ascii="Calibri" w:eastAsia="微软雅黑" w:hAnsi="Calibri"/>
        <w:shd w:val="clear"/>
        <w:sz w:val="22"/>
        <w:szCs w:val="22"/>
        <w:w w:val="100"/>
      </w:rPr>
    </w:rPrDefault>
  </w:docDefaults>
  <w:style w:default="1" w:styleId="PO1" w:type="paragraph">
    <w:name w:val="Normal"/>
    <w:qFormat/>
    <w:uiPriority w:val="1"/>
    <w:pPr>
      <w:autoSpaceDE w:val="1"/>
      <w:autoSpaceDN w:val="1"/>
      <w:jc w:val="both"/>
      <w:wordWrap/>
    </w:pPr>
    <w:rPr>
      <w:rFonts w:ascii="宋体" w:eastAsia="宋体" w:hAnsi="宋体"/>
      <w:shd w:val="clear"/>
      <w:sz w:val="21"/>
      <w:szCs w:val="21"/>
      <w:w w:val="100"/>
    </w:rPr>
  </w:style>
  <w:style w:default="1" w:styleId="PO2" w:type="character">
    <w:name w:val="Default Paragraph Font"/>
    <w:uiPriority w:val="2"/>
    <w:semiHidden/>
    <w:unhideWhenUsed/>
  </w:style>
  <w:style w:default="1" w:styleId="PO3" w:type="table">
    <w:name w:val="Normal Table"/>
    <w:qFormat/>
    <w:uiPriority w:val="3"/>
    <w:semiHidden/>
    <w:unhideWhenUsed/>
    <w:tblPr>
      <w:tblCellMar>
        <w:bottom w:type="dxa" w:w="0"/>
        <w:left w:type="dxa" w:w="108"/>
        <w:right w:type="dxa" w:w="108"/>
        <w:top w:type="dxa" w:w="0"/>
      </w:tblCellMar>
      <w:tblInd w:type="dxa" w:w="0"/>
    </w:tblPr>
  </w:style>
  <w:style w:default="1" w:styleId="PO4" w:type="numbering">
    <w:name w:val="No List"/>
    <w:uiPriority w:val="4"/>
    <w:semiHidden/>
    <w:unhideWhenUsed/>
  </w:style>
  <w:style w:styleId="PO5" w:type="paragraph">
    <w:name w:val="No Spacing"/>
    <w:link w:val="PO-1"/>
    <w:qFormat/>
    <w:uiPriority w:val="5"/>
    <w:pPr>
      <w:jc w:val="both"/>
    </w:pPr>
    <w:rPr>
      <w:shd w:val="clear"/>
      <w:sz w:val="21"/>
      <w:szCs w:val="21"/>
      <w:w w:val="100"/>
    </w:rPr>
  </w:style>
  <w:style w:styleId="PO6" w:type="paragraph">
    <w:name w:val="Title"/>
    <w:link w:val="PO-1"/>
    <w:qFormat/>
    <w:uiPriority w:val="6"/>
    <w:pPr>
      <w:jc w:val="center"/>
    </w:pPr>
    <w:rPr>
      <w:b/>
      <w:shd w:val="clear"/>
      <w:sz w:val="32"/>
      <w:szCs w:val="32"/>
      <w:w w:val="100"/>
    </w:rPr>
  </w:style>
  <w:style w:styleId="PO7" w:type="paragraph">
    <w:name w:val="heading 1"/>
    <w:link w:val="PO-1"/>
    <w:qFormat/>
    <w:uiPriority w:val="7"/>
    <w:pPr>
      <w:jc w:val="both"/>
    </w:pPr>
    <w:rPr>
      <w:shd w:val="clear"/>
      <w:sz w:val="28"/>
      <w:szCs w:val="28"/>
      <w:w w:val="100"/>
    </w:rPr>
  </w:style>
  <w:style w:styleId="PO8" w:type="paragraph">
    <w:name w:val="heading 2"/>
    <w:link w:val="PO-1"/>
    <w:qFormat/>
    <w:uiPriority w:val="8"/>
    <w:pPr>
      <w:jc w:val="both"/>
    </w:pPr>
    <w:rPr>
      <w:shd w:val="clear"/>
      <w:sz w:val="21"/>
      <w:szCs w:val="21"/>
      <w:w w:val="100"/>
    </w:rPr>
  </w:style>
  <w:style w:styleId="PO9" w:type="paragraph">
    <w:name w:val="heading 3"/>
    <w:link w:val="PO-1"/>
    <w:qFormat/>
    <w:uiPriority w:val="9"/>
    <w:pPr>
      <w:ind w:left="1000" w:hanging="400"/>
      <w:jc w:val="both"/>
    </w:pPr>
    <w:rPr>
      <w:shd w:val="clear"/>
      <w:sz w:val="21"/>
      <w:szCs w:val="21"/>
      <w:w w:val="100"/>
    </w:rPr>
  </w:style>
  <w:style w:styleId="PO10" w:type="paragraph">
    <w:name w:val="heading 4"/>
    <w:link w:val="PO-1"/>
    <w:qFormat/>
    <w:uiPriority w:val="10"/>
    <w:pPr>
      <w:ind w:left="1200" w:hanging="400"/>
      <w:jc w:val="both"/>
    </w:pPr>
    <w:rPr>
      <w:b/>
      <w:shd w:val="clear"/>
      <w:sz w:val="21"/>
      <w:szCs w:val="21"/>
      <w:w w:val="100"/>
    </w:rPr>
  </w:style>
  <w:style w:styleId="PO11" w:type="paragraph">
    <w:name w:val="heading 5"/>
    <w:link w:val="PO-1"/>
    <w:qFormat/>
    <w:uiPriority w:val="11"/>
    <w:pPr>
      <w:ind w:left="1400" w:hanging="400"/>
      <w:jc w:val="both"/>
    </w:pPr>
    <w:rPr>
      <w:shd w:val="clear"/>
      <w:sz w:val="21"/>
      <w:szCs w:val="21"/>
      <w:w w:val="100"/>
    </w:rPr>
  </w:style>
  <w:style w:styleId="PO12" w:type="paragraph">
    <w:name w:val="heading 6"/>
    <w:link w:val="PO-1"/>
    <w:qFormat/>
    <w:uiPriority w:val="12"/>
    <w:pPr>
      <w:ind w:left="1600" w:hanging="400"/>
      <w:jc w:val="both"/>
    </w:pPr>
    <w:rPr>
      <w:b/>
      <w:shd w:val="clear"/>
      <w:sz w:val="21"/>
      <w:szCs w:val="21"/>
      <w:w w:val="100"/>
    </w:rPr>
  </w:style>
  <w:style w:styleId="PO13" w:type="paragraph">
    <w:name w:val="heading 7"/>
    <w:link w:val="PO-1"/>
    <w:qFormat/>
    <w:uiPriority w:val="13"/>
    <w:pPr>
      <w:ind w:left="1800" w:hanging="400"/>
      <w:jc w:val="both"/>
    </w:pPr>
    <w:rPr>
      <w:shd w:val="clear"/>
      <w:sz w:val="21"/>
      <w:szCs w:val="21"/>
      <w:w w:val="100"/>
    </w:rPr>
  </w:style>
  <w:style w:styleId="PO14" w:type="paragraph">
    <w:name w:val="heading 8"/>
    <w:link w:val="PO-1"/>
    <w:qFormat/>
    <w:uiPriority w:val="14"/>
    <w:pPr>
      <w:ind w:left="2000" w:hanging="400"/>
      <w:jc w:val="both"/>
    </w:pPr>
    <w:rPr>
      <w:shd w:val="clear"/>
      <w:sz w:val="21"/>
      <w:szCs w:val="21"/>
      <w:w w:val="100"/>
    </w:rPr>
  </w:style>
  <w:style w:styleId="PO15" w:type="paragraph">
    <w:name w:val="heading 9"/>
    <w:link w:val="PO-1"/>
    <w:qFormat/>
    <w:uiPriority w:val="15"/>
    <w:pPr>
      <w:ind w:left="2200" w:hanging="400"/>
      <w:jc w:val="both"/>
    </w:pPr>
    <w:rPr>
      <w:shd w:val="clear"/>
      <w:sz w:val="21"/>
      <w:szCs w:val="21"/>
      <w:w w:val="100"/>
    </w:rPr>
  </w:style>
  <w:style w:styleId="PO16" w:type="paragraph">
    <w:name w:val="Subtitle"/>
    <w:link w:val="PO-1"/>
    <w:qFormat/>
    <w:uiPriority w:val="16"/>
    <w:pPr>
      <w:jc w:val="center"/>
    </w:pPr>
    <w:rPr>
      <w:shd w:val="clear"/>
      <w:sz w:val="24"/>
      <w:szCs w:val="24"/>
      <w:w w:val="100"/>
    </w:rPr>
  </w:style>
  <w:style w:styleId="PO17" w:type="character">
    <w:name w:val="Subtle Emphasis"/>
    <w:qFormat/>
    <w:uiPriority w:val="17"/>
    <w:rPr>
      <w:color w:val="404040"/>
      <w:i/>
      <w:shd w:val="clear"/>
      <w:sz w:val="21"/>
      <w:szCs w:val="21"/>
      <w:w w:val="100"/>
    </w:rPr>
  </w:style>
  <w:style w:styleId="PO18" w:type="character">
    <w:name w:val="Emphasis"/>
    <w:qFormat/>
    <w:uiPriority w:val="18"/>
    <w:rPr>
      <w:i/>
      <w:shd w:val="clear"/>
      <w:sz w:val="21"/>
      <w:szCs w:val="21"/>
      <w:w w:val="100"/>
    </w:rPr>
  </w:style>
  <w:style w:styleId="PO19" w:type="character">
    <w:name w:val="Intense Emphasis"/>
    <w:qFormat/>
    <w:uiPriority w:val="19"/>
    <w:rPr>
      <w:color w:val="5B9BD5"/>
      <w:i/>
      <w:shd w:val="clear"/>
      <w:sz w:val="21"/>
      <w:szCs w:val="21"/>
      <w:w w:val="100"/>
    </w:rPr>
  </w:style>
  <w:style w:styleId="PO20" w:type="character">
    <w:name w:val="Strong"/>
    <w:qFormat/>
    <w:uiPriority w:val="20"/>
    <w:rPr>
      <w:b/>
      <w:shd w:val="clear"/>
      <w:sz w:val="21"/>
      <w:szCs w:val="21"/>
      <w:w w:val="100"/>
    </w:rPr>
  </w:style>
  <w:style w:styleId="PO21" w:type="paragraph">
    <w:name w:val="Quote"/>
    <w:link w:val="PO-1"/>
    <w:qFormat/>
    <w:uiPriority w:val="21"/>
    <w:pPr>
      <w:ind w:left="864" w:right="864" w:firstLine="0"/>
      <w:jc w:val="center"/>
    </w:pPr>
    <w:rPr>
      <w:color w:val="404040"/>
      <w:i/>
      <w:shd w:val="clear"/>
      <w:sz w:val="21"/>
      <w:szCs w:val="21"/>
      <w:w w:val="100"/>
    </w:rPr>
  </w:style>
  <w:style w:styleId="PO22" w:type="paragraph">
    <w:name w:val="Intense Quote"/>
    <w:link w:val="PO-1"/>
    <w:qFormat/>
    <w:uiPriority w:val="22"/>
    <w:pPr>
      <w:ind w:left="950" w:right="950" w:firstLine="0"/>
      <w:jc w:val="center"/>
    </w:pPr>
    <w:rPr>
      <w:color w:val="5B9BD5"/>
      <w:i/>
      <w:shd w:val="clear"/>
      <w:sz w:val="21"/>
      <w:szCs w:val="21"/>
      <w:w w:val="100"/>
    </w:rPr>
  </w:style>
  <w:style w:styleId="PO23" w:type="character">
    <w:name w:val="Subtle Reference"/>
    <w:qFormat/>
    <w:uiPriority w:val="23"/>
    <w:rPr>
      <w:color w:val="5A5A5A"/>
      <w:shd w:val="clear"/>
      <w:smallCaps/>
      <w:sz w:val="21"/>
      <w:szCs w:val="21"/>
      <w:w w:val="100"/>
    </w:rPr>
  </w:style>
  <w:style w:styleId="PO24" w:type="character">
    <w:name w:val="Intense Reference"/>
    <w:qFormat/>
    <w:uiPriority w:val="24"/>
    <w:rPr>
      <w:color w:val="5B9BD5"/>
      <w:b/>
      <w:shd w:val="clear"/>
      <w:smallCaps/>
      <w:sz w:val="21"/>
      <w:szCs w:val="21"/>
      <w:w w:val="100"/>
    </w:rPr>
  </w:style>
  <w:style w:styleId="PO25" w:type="character">
    <w:name w:val="Book Title"/>
    <w:qFormat/>
    <w:uiPriority w:val="25"/>
    <w:rPr>
      <w:i/>
      <w:b/>
      <w:shd w:val="clear"/>
      <w:sz w:val="21"/>
      <w:szCs w:val="21"/>
      <w:w w:val="100"/>
    </w:rPr>
  </w:style>
  <w:style w:styleId="PO26" w:type="paragraph">
    <w:name w:val="List Paragraph"/>
    <w:link w:val="PO-1"/>
    <w:qFormat/>
    <w:uiPriority w:val="26"/>
    <w:pPr>
      <w:ind w:left="850" w:firstLine="0"/>
      <w:jc w:val="both"/>
    </w:pPr>
    <w:rPr>
      <w:shd w:val="clear"/>
      <w:sz w:val="21"/>
      <w:szCs w:val="21"/>
      <w:w w:val="100"/>
    </w:rPr>
  </w:style>
  <w:style w:styleId="PO27" w:type="paragraph">
    <w:name w:val="TOC Heading"/>
    <w:link w:val="PO-1"/>
    <w:qFormat/>
    <w:uiPriority w:val="27"/>
    <w:unhideWhenUsed/>
    <w:pPr/>
    <w:rPr>
      <w:color w:val="2E74B5"/>
      <w:shd w:val="clear"/>
      <w:sz w:val="32"/>
      <w:szCs w:val="32"/>
      <w:w w:val="100"/>
    </w:rPr>
  </w:style>
  <w:style w:styleId="PO28" w:type="paragraph">
    <w:name w:val="toc 1"/>
    <w:link w:val="PO-1"/>
    <w:qFormat/>
    <w:uiPriority w:val="28"/>
    <w:unhideWhenUsed/>
    <w:pPr>
      <w:jc w:val="both"/>
    </w:pPr>
    <w:rPr>
      <w:shd w:val="clear"/>
      <w:sz w:val="21"/>
      <w:szCs w:val="21"/>
      <w:w w:val="100"/>
    </w:rPr>
  </w:style>
  <w:style w:styleId="PO29" w:type="paragraph">
    <w:name w:val="toc 2"/>
    <w:link w:val="PO-1"/>
    <w:qFormat/>
    <w:uiPriority w:val="29"/>
    <w:unhideWhenUsed/>
    <w:pPr>
      <w:ind w:left="425" w:firstLine="0"/>
      <w:jc w:val="both"/>
    </w:pPr>
    <w:rPr>
      <w:shd w:val="clear"/>
      <w:sz w:val="21"/>
      <w:szCs w:val="21"/>
      <w:w w:val="100"/>
    </w:rPr>
  </w:style>
  <w:style w:styleId="PO30" w:type="paragraph">
    <w:name w:val="toc 3"/>
    <w:link w:val="PO-1"/>
    <w:qFormat/>
    <w:uiPriority w:val="30"/>
    <w:unhideWhenUsed/>
    <w:pPr>
      <w:ind w:left="850" w:firstLine="0"/>
      <w:jc w:val="both"/>
    </w:pPr>
    <w:rPr>
      <w:shd w:val="clear"/>
      <w:sz w:val="21"/>
      <w:szCs w:val="21"/>
      <w:w w:val="100"/>
    </w:rPr>
  </w:style>
  <w:style w:styleId="PO31" w:type="paragraph">
    <w:name w:val="toc 4"/>
    <w:link w:val="PO-1"/>
    <w:qFormat/>
    <w:uiPriority w:val="31"/>
    <w:unhideWhenUsed/>
    <w:pPr>
      <w:ind w:left="1275" w:firstLine="0"/>
      <w:jc w:val="both"/>
    </w:pPr>
    <w:rPr>
      <w:shd w:val="clear"/>
      <w:sz w:val="21"/>
      <w:szCs w:val="21"/>
      <w:w w:val="100"/>
    </w:rPr>
  </w:style>
  <w:style w:styleId="PO32" w:type="paragraph">
    <w:name w:val="toc 5"/>
    <w:link w:val="PO-1"/>
    <w:qFormat/>
    <w:uiPriority w:val="32"/>
    <w:unhideWhenUsed/>
    <w:pPr>
      <w:ind w:left="1700" w:firstLine="0"/>
      <w:jc w:val="both"/>
    </w:pPr>
    <w:rPr>
      <w:shd w:val="clear"/>
      <w:sz w:val="21"/>
      <w:szCs w:val="21"/>
      <w:w w:val="100"/>
    </w:rPr>
  </w:style>
  <w:style w:styleId="PO33" w:type="paragraph">
    <w:name w:val="toc 6"/>
    <w:link w:val="PO-1"/>
    <w:qFormat/>
    <w:uiPriority w:val="33"/>
    <w:unhideWhenUsed/>
    <w:pPr>
      <w:ind w:left="2125" w:firstLine="0"/>
      <w:jc w:val="both"/>
    </w:pPr>
    <w:rPr>
      <w:shd w:val="clear"/>
      <w:sz w:val="21"/>
      <w:szCs w:val="21"/>
      <w:w w:val="100"/>
    </w:rPr>
  </w:style>
  <w:style w:styleId="PO34" w:type="paragraph">
    <w:name w:val="toc 7"/>
    <w:link w:val="PO-1"/>
    <w:qFormat/>
    <w:uiPriority w:val="34"/>
    <w:unhideWhenUsed/>
    <w:pPr>
      <w:ind w:left="2550" w:firstLine="0"/>
      <w:jc w:val="both"/>
    </w:pPr>
    <w:rPr>
      <w:shd w:val="clear"/>
      <w:sz w:val="21"/>
      <w:szCs w:val="21"/>
      <w:w w:val="100"/>
    </w:rPr>
  </w:style>
  <w:style w:styleId="PO35" w:type="paragraph">
    <w:name w:val="toc 8"/>
    <w:link w:val="PO-1"/>
    <w:qFormat/>
    <w:uiPriority w:val="35"/>
    <w:unhideWhenUsed/>
    <w:pPr>
      <w:ind w:left="2975" w:firstLine="0"/>
      <w:jc w:val="both"/>
    </w:pPr>
    <w:rPr>
      <w:shd w:val="clear"/>
      <w:sz w:val="21"/>
      <w:szCs w:val="21"/>
      <w:w w:val="100"/>
    </w:rPr>
  </w:style>
  <w:style w:styleId="PO36" w:type="paragraph">
    <w:name w:val="toc 9"/>
    <w:link w:val="PO-1"/>
    <w:qFormat/>
    <w:uiPriority w:val="36"/>
    <w:unhideWhenUsed/>
    <w:pPr>
      <w:ind w:left="3400" w:firstLine="0"/>
      <w:jc w:val="both"/>
    </w:pPr>
    <w:rPr>
      <w:shd w:val="clear"/>
      <w:sz w:val="21"/>
      <w:szCs w:val="21"/>
      <w:w w:val="100"/>
    </w:rPr>
  </w:style>
  <w:style w:default="1" w:styleId="PO37" w:type="table">
    <w:name w:val="Normal Table"/>
    <w:basedOn w:val="PO3"/>
    <w:uiPriority w:val="37"/>
    <w:tblPr>
      <w:tblCellMar>
        <w:bottom w:type="dxa" w:w="0"/>
        <w:left w:type="dxa" w:w="108"/>
        <w:right w:type="dxa" w:w="108"/>
        <w:top w:type="dxa" w:w="0"/>
      </w:tblCellMar>
      <w:tblInd w:type="dxa" w:w="0"/>
    </w:tblPr>
  </w:style>
  <w:style w:styleId="PO152" w:type="paragraph">
    <w:name w:val="header"/>
    <w:basedOn w:val="PO1"/>
    <w:link w:val="PO153"/>
    <w:uiPriority w:val="152"/>
    <w:semiHidden/>
    <w:unhideWhenUsed/>
    <w:pPr>
      <w:autoSpaceDE w:val="1"/>
      <w:autoSpaceDN w:val="1"/>
      <w:jc w:val="center"/>
      <w:tabs>
        <w:tab w:val="center" w:pos="4153"/>
        <w:tab w:val="right" w:pos="8306"/>
      </w:tabs>
      <w:widowControl/>
      <w:wordWrap/>
    </w:pPr>
    <w:rPr>
      <w:shd w:val="clear"/>
      <w:sz w:val="18"/>
      <w:szCs w:val="18"/>
      <w:w w:val="100"/>
    </w:rPr>
  </w:style>
  <w:style w:customStyle="1" w:styleId="PO153" w:type="character">
    <w:name w:val="页眉 Char"/>
    <w:basedOn w:val="PO2"/>
    <w:link w:val="PO152"/>
    <w:uiPriority w:val="153"/>
    <w:semiHidden/>
    <w:rPr>
      <w:rFonts w:ascii="宋体" w:eastAsia="宋体" w:hAnsi="宋体"/>
      <w:shd w:val="clear"/>
      <w:sz w:val="18"/>
      <w:szCs w:val="18"/>
      <w:w w:val="100"/>
    </w:rPr>
  </w:style>
  <w:style w:styleId="PO154" w:type="paragraph">
    <w:name w:val="footer"/>
    <w:basedOn w:val="PO1"/>
    <w:link w:val="PO155"/>
    <w:uiPriority w:val="154"/>
    <w:unhideWhenUsed/>
    <w:pPr>
      <w:autoSpaceDE w:val="1"/>
      <w:autoSpaceDN w:val="1"/>
      <w:tabs>
        <w:tab w:val="center" w:pos="4153"/>
        <w:tab w:val="right" w:pos="8306"/>
      </w:tabs>
      <w:widowControl/>
      <w:wordWrap/>
    </w:pPr>
    <w:rPr>
      <w:shd w:val="clear"/>
      <w:sz w:val="18"/>
      <w:szCs w:val="18"/>
      <w:w w:val="100"/>
    </w:rPr>
  </w:style>
  <w:style w:customStyle="1" w:styleId="PO155" w:type="character">
    <w:name w:val="页脚 Char"/>
    <w:basedOn w:val="PO2"/>
    <w:link w:val="PO154"/>
    <w:uiPriority w:val="155"/>
    <w:rPr>
      <w:rFonts w:ascii="宋体" w:eastAsia="宋体" w:hAnsi="宋体"/>
      <w:shd w:val="clear"/>
      <w:sz w:val="18"/>
      <w:szCs w:val="18"/>
      <w:w w:val="1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?>
<Relationships xmlns="http://schemas.openxmlformats.org/package/2006/relationships"><Relationship Id="rId1" Type="http://schemas.openxmlformats.org/officeDocument/2006/relationships/webSettings" Target="webSettings.xml"></Relationship><Relationship Id="rId2" Type="http://schemas.openxmlformats.org/officeDocument/2006/relationships/fontTable" Target="fontTable.xml"></Relationship><Relationship Id="rId3" Type="http://schemas.openxmlformats.org/officeDocument/2006/relationships/settings" Target="settings.xml"></Relationship><Relationship Id="rId4" Type="http://schemas.openxmlformats.org/officeDocument/2006/relationships/styles" Target="styles.xml"></Relationship><Relationship Id="rId5" Type="http://schemas.openxmlformats.org/officeDocument/2006/relationships/footer" Target="footer2.xml"></Relationship><Relationship Id="rId6" Type="http://schemas.openxmlformats.org/officeDocument/2006/relationships/theme" Target="theme/theme1.xml"></Relationship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JisuOffice Write</Application>
  <AppVersion>12.000</AppVersion>
  <Characters>1706</Characters>
  <CharactersWithSpaces>0</CharactersWithSpaces>
  <DocSecurity>0</DocSecurity>
  <HyperlinksChanged>false</HyperlinksChanged>
  <Lines>12</Lines>
  <LinksUpToDate>false</LinksUpToDate>
  <Pages>4</Pages>
  <Paragraphs>3</Paragraphs>
  <Words>255</Words>
  <TotalTime>0</TotalTime>
  <MMClips>0</MMClip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Title text</vt:lpstr>
    </vt:vector>
  </TitlesOfParts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3</cp:revision>
  <cp:lastModifiedBy/>
  <dcterms:modified xsi:type="dcterms:W3CDTF">2018-04-13T02:44:00Z</dcterms:modified>
</cp:coreProperties>
</file>